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36EDA" w14:textId="5D1D92FC" w:rsidR="00A0642D" w:rsidRPr="00920080" w:rsidRDefault="00A0642D" w:rsidP="00A0642D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Cambria" w:hAnsi="Cambria" w:cs="Times"/>
          <w:sz w:val="22"/>
          <w:szCs w:val="22"/>
          <w:u w:val="single"/>
        </w:rPr>
      </w:pPr>
      <w:r>
        <w:rPr>
          <w:rFonts w:ascii="Cambria" w:hAnsi="Cambria" w:cs="Times"/>
          <w:sz w:val="22"/>
          <w:szCs w:val="22"/>
          <w:u w:val="single"/>
        </w:rPr>
        <w:t>Informe de Vivien</w:t>
      </w:r>
      <w:r w:rsidR="00AF3817">
        <w:rPr>
          <w:rFonts w:ascii="Cambria" w:hAnsi="Cambria" w:cs="Times"/>
          <w:sz w:val="22"/>
          <w:szCs w:val="22"/>
          <w:u w:val="single"/>
        </w:rPr>
        <w:t xml:space="preserve">da Gesvalt </w:t>
      </w:r>
      <w:r w:rsidR="00026219">
        <w:rPr>
          <w:rFonts w:ascii="Cambria" w:hAnsi="Cambria" w:cs="Times"/>
          <w:sz w:val="22"/>
          <w:szCs w:val="22"/>
          <w:u w:val="single"/>
        </w:rPr>
        <w:t>tercer</w:t>
      </w:r>
      <w:r w:rsidR="00AF3817">
        <w:rPr>
          <w:rFonts w:ascii="Cambria" w:hAnsi="Cambria" w:cs="Times"/>
          <w:sz w:val="22"/>
          <w:szCs w:val="22"/>
          <w:u w:val="single"/>
        </w:rPr>
        <w:t xml:space="preserve"> trimestre 2019</w:t>
      </w:r>
    </w:p>
    <w:p w14:paraId="54D5A519" w14:textId="3B9FD1FA" w:rsidR="00DA4A72" w:rsidRDefault="00F819F5" w:rsidP="000970CB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Cambria" w:hAnsi="Cambria" w:cs="Times"/>
          <w:b/>
          <w:sz w:val="36"/>
          <w:szCs w:val="36"/>
        </w:rPr>
      </w:pPr>
      <w:r>
        <w:rPr>
          <w:rFonts w:ascii="Cambria" w:hAnsi="Cambria" w:cs="Times"/>
          <w:b/>
          <w:sz w:val="36"/>
          <w:szCs w:val="36"/>
        </w:rPr>
        <w:t>El precio de la vivienda se incrementa en un 2</w:t>
      </w:r>
      <w:r w:rsidR="00E46381">
        <w:rPr>
          <w:rFonts w:ascii="Cambria" w:hAnsi="Cambria" w:cs="Times"/>
          <w:b/>
          <w:sz w:val="36"/>
          <w:szCs w:val="36"/>
        </w:rPr>
        <w:t>,</w:t>
      </w:r>
      <w:r>
        <w:rPr>
          <w:rFonts w:ascii="Cambria" w:hAnsi="Cambria" w:cs="Times"/>
          <w:b/>
          <w:sz w:val="36"/>
          <w:szCs w:val="36"/>
        </w:rPr>
        <w:t xml:space="preserve">3% en el tercer trimestre </w:t>
      </w:r>
      <w:r w:rsidR="004746CE">
        <w:rPr>
          <w:rFonts w:ascii="Cambria" w:hAnsi="Cambria" w:cs="Times"/>
          <w:b/>
          <w:sz w:val="36"/>
          <w:szCs w:val="36"/>
        </w:rPr>
        <w:t>y</w:t>
      </w:r>
      <w:r>
        <w:rPr>
          <w:rFonts w:ascii="Cambria" w:hAnsi="Cambria" w:cs="Times"/>
          <w:b/>
          <w:sz w:val="36"/>
          <w:szCs w:val="36"/>
        </w:rPr>
        <w:t xml:space="preserve"> </w:t>
      </w:r>
      <w:r w:rsidR="00B81227">
        <w:rPr>
          <w:rFonts w:ascii="Cambria" w:hAnsi="Cambria" w:cs="Times"/>
          <w:b/>
          <w:sz w:val="36"/>
          <w:szCs w:val="36"/>
        </w:rPr>
        <w:t>mantiene</w:t>
      </w:r>
      <w:r>
        <w:rPr>
          <w:rFonts w:ascii="Cambria" w:hAnsi="Cambria" w:cs="Times"/>
          <w:b/>
          <w:sz w:val="36"/>
          <w:szCs w:val="36"/>
        </w:rPr>
        <w:t xml:space="preserve"> </w:t>
      </w:r>
      <w:r w:rsidR="00C160CF">
        <w:rPr>
          <w:rFonts w:ascii="Cambria" w:hAnsi="Cambria" w:cs="Times"/>
          <w:b/>
          <w:sz w:val="36"/>
          <w:szCs w:val="36"/>
        </w:rPr>
        <w:t>su</w:t>
      </w:r>
      <w:r>
        <w:rPr>
          <w:rFonts w:ascii="Cambria" w:hAnsi="Cambria" w:cs="Times"/>
          <w:b/>
          <w:sz w:val="36"/>
          <w:szCs w:val="36"/>
        </w:rPr>
        <w:t xml:space="preserve"> </w:t>
      </w:r>
      <w:r w:rsidR="00C160CF">
        <w:rPr>
          <w:rFonts w:ascii="Cambria" w:hAnsi="Cambria" w:cs="Times"/>
          <w:b/>
          <w:sz w:val="36"/>
          <w:szCs w:val="36"/>
        </w:rPr>
        <w:t>moderación</w:t>
      </w:r>
    </w:p>
    <w:p w14:paraId="7C792A0F" w14:textId="43BE4E86" w:rsidR="00B81227" w:rsidRPr="00B81227" w:rsidRDefault="00B81227" w:rsidP="003D2ABC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  <w:b/>
        </w:rPr>
      </w:pPr>
      <w:bookmarkStart w:id="0" w:name="_Hlk12442681"/>
      <w:r w:rsidRPr="00B81227">
        <w:rPr>
          <w:rFonts w:ascii="Cambria" w:hAnsi="Cambria" w:cs="Times"/>
          <w:b/>
        </w:rPr>
        <w:t>La mejora en las condiciones de financiación</w:t>
      </w:r>
      <w:r>
        <w:rPr>
          <w:rFonts w:ascii="Cambria" w:hAnsi="Cambria" w:cs="Times"/>
          <w:b/>
        </w:rPr>
        <w:t xml:space="preserve"> es una muestra de confianza por parte de las entidades de crédito sobre la capacidad económica de las familias.</w:t>
      </w:r>
    </w:p>
    <w:p w14:paraId="775C0376" w14:textId="3C4FD5B5" w:rsidR="004D7C50" w:rsidRPr="00BB426E" w:rsidRDefault="004D7C50" w:rsidP="004D7C50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  <w:b/>
        </w:rPr>
      </w:pPr>
      <w:r w:rsidRPr="00441796">
        <w:rPr>
          <w:rFonts w:ascii="Cambria" w:hAnsi="Cambria" w:cs="Times"/>
          <w:b/>
        </w:rPr>
        <w:t xml:space="preserve">El </w:t>
      </w:r>
      <w:r w:rsidR="00E46381">
        <w:rPr>
          <w:rFonts w:ascii="Cambria" w:hAnsi="Cambria" w:cs="Times"/>
          <w:b/>
        </w:rPr>
        <w:t xml:space="preserve">precio medio del </w:t>
      </w:r>
      <w:r w:rsidRPr="00441796">
        <w:rPr>
          <w:rFonts w:ascii="Cambria" w:hAnsi="Cambria" w:cs="Times"/>
          <w:b/>
        </w:rPr>
        <w:t xml:space="preserve">metro cuadrado en España se sitúa en </w:t>
      </w:r>
      <w:r w:rsidR="003D2ABC">
        <w:rPr>
          <w:rFonts w:ascii="Cambria" w:hAnsi="Cambria" w:cs="Times"/>
          <w:b/>
        </w:rPr>
        <w:t>1.427</w:t>
      </w:r>
      <w:r w:rsidRPr="00441796">
        <w:rPr>
          <w:rFonts w:ascii="Cambria" w:hAnsi="Cambria" w:cs="Times"/>
          <w:b/>
        </w:rPr>
        <w:t>€</w:t>
      </w:r>
      <w:r>
        <w:rPr>
          <w:rFonts w:ascii="Cambria" w:hAnsi="Cambria" w:cs="Times"/>
          <w:b/>
        </w:rPr>
        <w:t xml:space="preserve">, </w:t>
      </w:r>
      <w:r w:rsidR="00E46381">
        <w:rPr>
          <w:rFonts w:ascii="Cambria" w:hAnsi="Cambria" w:cs="Times"/>
          <w:b/>
        </w:rPr>
        <w:t>con</w:t>
      </w:r>
      <w:r w:rsidR="003D2ABC">
        <w:rPr>
          <w:rFonts w:ascii="Cambria" w:hAnsi="Cambria" w:cs="Times"/>
          <w:b/>
        </w:rPr>
        <w:t xml:space="preserve"> </w:t>
      </w:r>
      <w:r w:rsidR="004746CE">
        <w:rPr>
          <w:rFonts w:ascii="Cambria" w:hAnsi="Cambria" w:cs="Times"/>
          <w:b/>
        </w:rPr>
        <w:t>Baleares (2.417</w:t>
      </w:r>
      <w:r w:rsidR="004746CE" w:rsidRPr="00441796">
        <w:rPr>
          <w:rFonts w:ascii="Cambria" w:hAnsi="Cambria" w:cs="Times"/>
          <w:b/>
        </w:rPr>
        <w:t>€/m2</w:t>
      </w:r>
      <w:r w:rsidR="004746CE">
        <w:rPr>
          <w:rFonts w:ascii="Cambria" w:hAnsi="Cambria" w:cs="Times"/>
          <w:b/>
        </w:rPr>
        <w:t>), la Comunidad de Madrid (2.246</w:t>
      </w:r>
      <w:r w:rsidR="004746CE" w:rsidRPr="00441796">
        <w:rPr>
          <w:rFonts w:ascii="Cambria" w:hAnsi="Cambria" w:cs="Times"/>
          <w:b/>
        </w:rPr>
        <w:t>€/m2</w:t>
      </w:r>
      <w:r w:rsidR="007D2838">
        <w:rPr>
          <w:rFonts w:ascii="Cambria" w:hAnsi="Cambria" w:cs="Times"/>
          <w:b/>
        </w:rPr>
        <w:t xml:space="preserve">), País </w:t>
      </w:r>
      <w:proofErr w:type="gramStart"/>
      <w:r w:rsidR="007D2838">
        <w:rPr>
          <w:rFonts w:ascii="Cambria" w:hAnsi="Cambria" w:cs="Times"/>
          <w:b/>
        </w:rPr>
        <w:t xml:space="preserve">Vasco  </w:t>
      </w:r>
      <w:r w:rsidR="004746CE">
        <w:rPr>
          <w:rFonts w:ascii="Cambria" w:hAnsi="Cambria" w:cs="Times"/>
          <w:b/>
        </w:rPr>
        <w:t>(</w:t>
      </w:r>
      <w:proofErr w:type="gramEnd"/>
      <w:r w:rsidR="004746CE">
        <w:rPr>
          <w:rFonts w:ascii="Cambria" w:hAnsi="Cambria" w:cs="Times"/>
          <w:b/>
        </w:rPr>
        <w:t>2.229</w:t>
      </w:r>
      <w:r w:rsidR="004746CE" w:rsidRPr="00441796">
        <w:rPr>
          <w:rFonts w:ascii="Cambria" w:hAnsi="Cambria" w:cs="Times"/>
          <w:b/>
        </w:rPr>
        <w:t>€/m2</w:t>
      </w:r>
      <w:r w:rsidR="004746CE">
        <w:rPr>
          <w:rFonts w:ascii="Cambria" w:hAnsi="Cambria" w:cs="Times"/>
          <w:b/>
        </w:rPr>
        <w:t>) y Cataluña (1.651</w:t>
      </w:r>
      <w:r w:rsidR="004746CE" w:rsidRPr="00441796">
        <w:rPr>
          <w:rFonts w:ascii="Cambria" w:hAnsi="Cambria" w:cs="Times"/>
          <w:b/>
        </w:rPr>
        <w:t>€/m2</w:t>
      </w:r>
      <w:r w:rsidR="004746CE">
        <w:rPr>
          <w:rFonts w:ascii="Cambria" w:hAnsi="Cambria" w:cs="Times"/>
          <w:b/>
        </w:rPr>
        <w:t>)</w:t>
      </w:r>
      <w:r w:rsidR="00E46381">
        <w:rPr>
          <w:rFonts w:ascii="Cambria" w:hAnsi="Cambria" w:cs="Times"/>
          <w:b/>
        </w:rPr>
        <w:t xml:space="preserve"> como las regiones más caras. </w:t>
      </w:r>
    </w:p>
    <w:bookmarkEnd w:id="0"/>
    <w:p w14:paraId="1A408AC8" w14:textId="539DF2A3" w:rsidR="00AD3665" w:rsidRDefault="003D2ABC" w:rsidP="003D2ABC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  <w:b/>
        </w:rPr>
      </w:pPr>
      <w:r>
        <w:rPr>
          <w:rFonts w:ascii="Cambria" w:hAnsi="Cambria" w:cs="Times"/>
          <w:b/>
        </w:rPr>
        <w:t>Todas las comunidades autónomas, excepto Galicia (-2,2</w:t>
      </w:r>
      <w:r w:rsidR="00E46381">
        <w:rPr>
          <w:rFonts w:ascii="Cambria" w:hAnsi="Cambria" w:cs="Times"/>
          <w:b/>
        </w:rPr>
        <w:t>%</w:t>
      </w:r>
      <w:r>
        <w:rPr>
          <w:rFonts w:ascii="Cambria" w:hAnsi="Cambria" w:cs="Times"/>
          <w:b/>
        </w:rPr>
        <w:t xml:space="preserve">), </w:t>
      </w:r>
      <w:r w:rsidR="00B81227">
        <w:rPr>
          <w:rFonts w:ascii="Cambria" w:hAnsi="Cambria" w:cs="Times"/>
          <w:b/>
        </w:rPr>
        <w:t xml:space="preserve">aumentan su precio respecto al mismo periodo de 2018. El ranking de incremento de precios lo encabeza </w:t>
      </w:r>
      <w:r w:rsidRPr="003D2ABC">
        <w:rPr>
          <w:rFonts w:ascii="Cambria" w:hAnsi="Cambria" w:cs="Times"/>
          <w:b/>
        </w:rPr>
        <w:t>Baleares (+9,0%),</w:t>
      </w:r>
      <w:r w:rsidR="00B81227">
        <w:rPr>
          <w:rFonts w:ascii="Cambria" w:hAnsi="Cambria" w:cs="Times"/>
          <w:b/>
        </w:rPr>
        <w:t xml:space="preserve"> seguido por</w:t>
      </w:r>
      <w:r w:rsidRPr="003D2ABC">
        <w:rPr>
          <w:rFonts w:ascii="Cambria" w:hAnsi="Cambria" w:cs="Times"/>
          <w:b/>
        </w:rPr>
        <w:t xml:space="preserve"> La Rioja (+7,7%) y Cataluña (+7,3%)</w:t>
      </w:r>
    </w:p>
    <w:p w14:paraId="32AD39AB" w14:textId="7E539EE6" w:rsidR="00441796" w:rsidRPr="003D2ABC" w:rsidRDefault="00441796" w:rsidP="00441796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</w:rPr>
      </w:pPr>
      <w:r w:rsidRPr="00441796">
        <w:rPr>
          <w:rFonts w:ascii="Cambria" w:hAnsi="Cambria" w:cs="Times"/>
          <w:b/>
          <w:bCs/>
        </w:rPr>
        <w:t>Con respecto al alquiler</w:t>
      </w:r>
      <w:r w:rsidR="003D2ABC">
        <w:rPr>
          <w:rFonts w:ascii="Cambria" w:hAnsi="Cambria" w:cs="Times"/>
          <w:b/>
          <w:bCs/>
        </w:rPr>
        <w:t xml:space="preserve">, Barcelona </w:t>
      </w:r>
      <w:r w:rsidR="003D2ABC" w:rsidRPr="00AD3665">
        <w:rPr>
          <w:rFonts w:ascii="Cambria" w:hAnsi="Cambria" w:cs="Times"/>
          <w:b/>
          <w:bCs/>
        </w:rPr>
        <w:t>(16,</w:t>
      </w:r>
      <w:r w:rsidR="003D2ABC">
        <w:rPr>
          <w:rFonts w:ascii="Cambria" w:hAnsi="Cambria" w:cs="Times"/>
          <w:b/>
          <w:bCs/>
        </w:rPr>
        <w:t>91</w:t>
      </w:r>
      <w:r w:rsidR="003D2ABC" w:rsidRPr="00AD3665">
        <w:rPr>
          <w:rFonts w:ascii="Cambria" w:hAnsi="Cambria" w:cs="Times"/>
          <w:b/>
          <w:bCs/>
        </w:rPr>
        <w:t>€/m²/mes)</w:t>
      </w:r>
      <w:r w:rsidR="003D2ABC">
        <w:rPr>
          <w:rFonts w:ascii="Cambria" w:hAnsi="Cambria" w:cs="Times"/>
          <w:b/>
          <w:bCs/>
        </w:rPr>
        <w:t xml:space="preserve"> se mantiene como la provincia con el precio más elevado</w:t>
      </w:r>
      <w:r w:rsidRPr="00441796">
        <w:rPr>
          <w:rFonts w:ascii="Cambria" w:hAnsi="Cambria" w:cs="Times"/>
          <w:b/>
          <w:bCs/>
        </w:rPr>
        <w:t>,</w:t>
      </w:r>
      <w:r w:rsidR="003D2ABC">
        <w:rPr>
          <w:rFonts w:ascii="Cambria" w:hAnsi="Cambria" w:cs="Times"/>
          <w:b/>
          <w:bCs/>
        </w:rPr>
        <w:t xml:space="preserve"> seguida de</w:t>
      </w:r>
      <w:r w:rsidR="00AD3665" w:rsidRPr="00AD3665">
        <w:rPr>
          <w:rFonts w:ascii="Cambria" w:hAnsi="Cambria" w:cs="Times"/>
          <w:b/>
          <w:bCs/>
        </w:rPr>
        <w:t xml:space="preserve"> Madrid (1</w:t>
      </w:r>
      <w:r w:rsidR="00AD3665">
        <w:rPr>
          <w:rFonts w:ascii="Cambria" w:hAnsi="Cambria" w:cs="Times"/>
          <w:b/>
          <w:bCs/>
        </w:rPr>
        <w:t>5</w:t>
      </w:r>
      <w:r w:rsidR="00AD3665" w:rsidRPr="00AD3665">
        <w:rPr>
          <w:rFonts w:ascii="Cambria" w:hAnsi="Cambria" w:cs="Times"/>
          <w:b/>
          <w:bCs/>
        </w:rPr>
        <w:t>,</w:t>
      </w:r>
      <w:r w:rsidR="00126AD3">
        <w:rPr>
          <w:rFonts w:ascii="Cambria" w:hAnsi="Cambria" w:cs="Times"/>
          <w:b/>
          <w:bCs/>
        </w:rPr>
        <w:t>6</w:t>
      </w:r>
      <w:r w:rsidR="00AD3665" w:rsidRPr="00AD3665">
        <w:rPr>
          <w:rFonts w:ascii="Cambria" w:hAnsi="Cambria" w:cs="Times"/>
          <w:b/>
          <w:bCs/>
        </w:rPr>
        <w:t>4 €/m²/mes), Baleares (1</w:t>
      </w:r>
      <w:r w:rsidR="00126AD3">
        <w:rPr>
          <w:rFonts w:ascii="Cambria" w:hAnsi="Cambria" w:cs="Times"/>
          <w:b/>
          <w:bCs/>
        </w:rPr>
        <w:t>3</w:t>
      </w:r>
      <w:r w:rsidR="00AD3665" w:rsidRPr="00AD3665">
        <w:rPr>
          <w:rFonts w:ascii="Cambria" w:hAnsi="Cambria" w:cs="Times"/>
          <w:b/>
          <w:bCs/>
        </w:rPr>
        <w:t>,</w:t>
      </w:r>
      <w:r w:rsidR="00126AD3">
        <w:rPr>
          <w:rFonts w:ascii="Cambria" w:hAnsi="Cambria" w:cs="Times"/>
          <w:b/>
          <w:bCs/>
        </w:rPr>
        <w:t>83</w:t>
      </w:r>
      <w:r w:rsidR="00AD3665">
        <w:rPr>
          <w:rFonts w:ascii="Cambria" w:hAnsi="Cambria" w:cs="Times"/>
          <w:b/>
          <w:bCs/>
        </w:rPr>
        <w:t xml:space="preserve"> </w:t>
      </w:r>
      <w:r w:rsidR="00AD3665" w:rsidRPr="00AD3665">
        <w:rPr>
          <w:rFonts w:ascii="Cambria" w:hAnsi="Cambria" w:cs="Times"/>
          <w:b/>
          <w:bCs/>
        </w:rPr>
        <w:t>€/m²/mes</w:t>
      </w:r>
      <w:r w:rsidR="00AD3665">
        <w:rPr>
          <w:rFonts w:ascii="Cambria" w:hAnsi="Cambria" w:cs="Times"/>
          <w:b/>
          <w:bCs/>
        </w:rPr>
        <w:t xml:space="preserve">) y </w:t>
      </w:r>
      <w:r w:rsidR="00AD3665" w:rsidRPr="00AD3665">
        <w:rPr>
          <w:rFonts w:ascii="Cambria" w:hAnsi="Cambria" w:cs="Times"/>
          <w:b/>
          <w:bCs/>
        </w:rPr>
        <w:t>Guipúzcoa (1</w:t>
      </w:r>
      <w:r w:rsidR="00126AD3">
        <w:rPr>
          <w:rFonts w:ascii="Cambria" w:hAnsi="Cambria" w:cs="Times"/>
          <w:b/>
          <w:bCs/>
        </w:rPr>
        <w:t>3</w:t>
      </w:r>
      <w:r w:rsidR="00AD3665" w:rsidRPr="00AD3665">
        <w:rPr>
          <w:rFonts w:ascii="Cambria" w:hAnsi="Cambria" w:cs="Times"/>
          <w:b/>
          <w:bCs/>
        </w:rPr>
        <w:t>,</w:t>
      </w:r>
      <w:r w:rsidR="00126AD3">
        <w:rPr>
          <w:rFonts w:ascii="Cambria" w:hAnsi="Cambria" w:cs="Times"/>
          <w:b/>
          <w:bCs/>
        </w:rPr>
        <w:t>80</w:t>
      </w:r>
      <w:r w:rsidR="00AD3665" w:rsidRPr="00AD3665">
        <w:rPr>
          <w:rFonts w:ascii="Cambria" w:hAnsi="Cambria" w:cs="Times"/>
          <w:b/>
          <w:bCs/>
        </w:rPr>
        <w:t xml:space="preserve"> €/m²/mes) </w:t>
      </w:r>
    </w:p>
    <w:p w14:paraId="16A8657E" w14:textId="77777777" w:rsidR="00AD6E95" w:rsidRPr="002344A1" w:rsidRDefault="00AD6E95" w:rsidP="00F91E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center"/>
        <w:rPr>
          <w:rFonts w:ascii="Cambria" w:hAnsi="Cambria" w:cs="Times"/>
        </w:rPr>
      </w:pPr>
      <w:r w:rsidRPr="002344A1">
        <w:rPr>
          <w:rFonts w:ascii="Cambria" w:hAnsi="Cambria" w:cs="Times"/>
        </w:rPr>
        <w:t xml:space="preserve">Puedes encontrar esta noticia y otras en </w:t>
      </w:r>
      <w:hyperlink r:id="rId8" w:history="1">
        <w:r w:rsidRPr="002344A1">
          <w:rPr>
            <w:rStyle w:val="Hipervnculo"/>
            <w:rFonts w:ascii="Cambria" w:hAnsi="Cambria" w:cs="Times"/>
          </w:rPr>
          <w:t>nuestra web</w:t>
        </w:r>
      </w:hyperlink>
      <w:r w:rsidRPr="002344A1">
        <w:rPr>
          <w:rFonts w:ascii="Cambria" w:hAnsi="Cambria" w:cs="Times"/>
          <w:color w:val="0B4CB4"/>
        </w:rPr>
        <w:t xml:space="preserve"> </w:t>
      </w:r>
      <w:r w:rsidRPr="002344A1">
        <w:rPr>
          <w:rFonts w:ascii="Cambria" w:hAnsi="Cambria" w:cs="Times"/>
        </w:rPr>
        <w:t xml:space="preserve">y en </w:t>
      </w:r>
      <w:r w:rsidRPr="002344A1">
        <w:rPr>
          <w:rFonts w:ascii="Cambria" w:hAnsi="Cambria" w:cs="Times"/>
          <w:color w:val="0B4CB4"/>
        </w:rPr>
        <w:t>@</w:t>
      </w:r>
      <w:proofErr w:type="spellStart"/>
      <w:r w:rsidRPr="002344A1">
        <w:rPr>
          <w:rFonts w:ascii="Cambria" w:hAnsi="Cambria" w:cs="Times"/>
          <w:color w:val="0B4CB4"/>
        </w:rPr>
        <w:t>gesvalt</w:t>
      </w:r>
      <w:proofErr w:type="spellEnd"/>
    </w:p>
    <w:p w14:paraId="6D90BBD2" w14:textId="60375210" w:rsidR="000437F8" w:rsidRDefault="00FA6CB7" w:rsidP="0061763D">
      <w:pPr>
        <w:spacing w:line="276" w:lineRule="auto"/>
        <w:jc w:val="both"/>
        <w:rPr>
          <w:rFonts w:ascii="Cambria" w:hAnsi="Cambria" w:cs="Baghdad"/>
          <w:bCs/>
        </w:rPr>
      </w:pPr>
      <w:r w:rsidRPr="000C7A73">
        <w:rPr>
          <w:rFonts w:ascii="Cambria" w:hAnsi="Cambria" w:cs="Baghdad"/>
          <w:b/>
          <w:bCs/>
        </w:rPr>
        <w:t>Madrid</w:t>
      </w:r>
      <w:r w:rsidR="00920080" w:rsidRPr="000C7A73">
        <w:rPr>
          <w:rFonts w:ascii="Cambria" w:hAnsi="Cambria" w:cs="Baghdad"/>
          <w:b/>
          <w:bCs/>
        </w:rPr>
        <w:t xml:space="preserve">, </w:t>
      </w:r>
      <w:r w:rsidR="000C7A73" w:rsidRPr="000C7A73">
        <w:rPr>
          <w:rFonts w:ascii="Cambria" w:hAnsi="Cambria" w:cs="Baghdad"/>
          <w:b/>
          <w:bCs/>
        </w:rPr>
        <w:t>03</w:t>
      </w:r>
      <w:r w:rsidR="00A0642D" w:rsidRPr="000C7A73">
        <w:rPr>
          <w:rFonts w:ascii="Cambria" w:hAnsi="Cambria" w:cs="Baghdad"/>
          <w:b/>
          <w:bCs/>
        </w:rPr>
        <w:t xml:space="preserve"> de</w:t>
      </w:r>
      <w:bookmarkStart w:id="1" w:name="_GoBack"/>
      <w:bookmarkEnd w:id="1"/>
      <w:r w:rsidR="00A0642D">
        <w:rPr>
          <w:rFonts w:ascii="Cambria" w:hAnsi="Cambria" w:cs="Baghdad"/>
          <w:b/>
          <w:bCs/>
        </w:rPr>
        <w:t xml:space="preserve"> </w:t>
      </w:r>
      <w:r w:rsidR="003F19BC">
        <w:rPr>
          <w:rFonts w:ascii="Cambria" w:hAnsi="Cambria" w:cs="Baghdad"/>
          <w:b/>
          <w:bCs/>
        </w:rPr>
        <w:t>octubre</w:t>
      </w:r>
      <w:r w:rsidR="00893757" w:rsidRPr="002344A1">
        <w:rPr>
          <w:rFonts w:ascii="Cambria" w:hAnsi="Cambria" w:cs="Baghdad"/>
          <w:b/>
          <w:bCs/>
        </w:rPr>
        <w:t xml:space="preserve"> de 201</w:t>
      </w:r>
      <w:r w:rsidR="00AF3817">
        <w:rPr>
          <w:rFonts w:ascii="Cambria" w:hAnsi="Cambria" w:cs="Baghdad"/>
          <w:b/>
          <w:bCs/>
        </w:rPr>
        <w:t>9</w:t>
      </w:r>
      <w:r w:rsidR="00893757" w:rsidRPr="002344A1">
        <w:rPr>
          <w:rFonts w:ascii="Cambria" w:hAnsi="Cambria" w:cs="Baghdad"/>
          <w:b/>
          <w:bCs/>
        </w:rPr>
        <w:t xml:space="preserve"> </w:t>
      </w:r>
      <w:r w:rsidR="00F746D7">
        <w:rPr>
          <w:rFonts w:ascii="Cambria" w:hAnsi="Cambria" w:cs="Baghdad"/>
          <w:b/>
          <w:bCs/>
        </w:rPr>
        <w:t>–</w:t>
      </w:r>
      <w:r w:rsidR="00E735C6" w:rsidRPr="00E735C6">
        <w:rPr>
          <w:rFonts w:ascii="Cambria" w:hAnsi="Cambria" w:cs="Baghdad"/>
          <w:bCs/>
        </w:rPr>
        <w:t xml:space="preserve"> </w:t>
      </w:r>
      <w:r w:rsidR="007B735E">
        <w:rPr>
          <w:rFonts w:ascii="Cambria" w:hAnsi="Cambria" w:cs="Baghdad"/>
          <w:bCs/>
        </w:rPr>
        <w:t xml:space="preserve">Gesvalt, la compañía de referencia en </w:t>
      </w:r>
      <w:r w:rsidR="007B735E" w:rsidRPr="007B735E">
        <w:rPr>
          <w:rFonts w:ascii="Cambria" w:hAnsi="Cambria" w:cs="Baghdad"/>
          <w:bCs/>
        </w:rPr>
        <w:t>el sector de la consultoría, valoración y actuaciones técnicas</w:t>
      </w:r>
      <w:r w:rsidR="007B735E">
        <w:rPr>
          <w:rFonts w:ascii="Cambria" w:hAnsi="Cambria" w:cs="Baghdad"/>
          <w:bCs/>
        </w:rPr>
        <w:t xml:space="preserve">, ha publicado su Informe de Vivienda correspondiente al tercer trimestre del año 2019. En el estudio, realizado </w:t>
      </w:r>
      <w:r w:rsidR="0082419E">
        <w:rPr>
          <w:rFonts w:ascii="Cambria" w:hAnsi="Cambria" w:cs="Baghdad"/>
          <w:bCs/>
        </w:rPr>
        <w:t xml:space="preserve">con datos propios </w:t>
      </w:r>
      <w:r w:rsidR="007B735E">
        <w:rPr>
          <w:rFonts w:ascii="Cambria" w:hAnsi="Cambria" w:cs="Baghdad"/>
          <w:bCs/>
        </w:rPr>
        <w:t xml:space="preserve">por el departamento de </w:t>
      </w:r>
      <w:proofErr w:type="spellStart"/>
      <w:r w:rsidR="007B735E">
        <w:rPr>
          <w:rFonts w:ascii="Cambria" w:hAnsi="Cambria" w:cs="Baghdad"/>
          <w:bCs/>
        </w:rPr>
        <w:t>Research</w:t>
      </w:r>
      <w:proofErr w:type="spellEnd"/>
      <w:r w:rsidR="007B735E">
        <w:rPr>
          <w:rFonts w:ascii="Cambria" w:hAnsi="Cambria" w:cs="Baghdad"/>
          <w:bCs/>
        </w:rPr>
        <w:t xml:space="preserve"> de la compañía, destaca el incremento en un 2,3% del precio de la viviend</w:t>
      </w:r>
      <w:r w:rsidR="007A4FA2">
        <w:rPr>
          <w:rFonts w:ascii="Cambria" w:hAnsi="Cambria" w:cs="Baghdad"/>
          <w:bCs/>
        </w:rPr>
        <w:t>a en nuestro país con respecto al mismo período del año anterior</w:t>
      </w:r>
      <w:r w:rsidR="006526A8">
        <w:rPr>
          <w:rFonts w:ascii="Cambria" w:hAnsi="Cambria" w:cs="Baghdad"/>
          <w:bCs/>
        </w:rPr>
        <w:t>, hasta alcanzar una media de 1.427€/m2</w:t>
      </w:r>
      <w:r w:rsidR="007A4FA2">
        <w:rPr>
          <w:rFonts w:ascii="Cambria" w:hAnsi="Cambria" w:cs="Baghdad"/>
          <w:bCs/>
        </w:rPr>
        <w:t xml:space="preserve">. </w:t>
      </w:r>
      <w:r w:rsidR="00B12737">
        <w:rPr>
          <w:rFonts w:ascii="Cambria" w:hAnsi="Cambria" w:cs="Baghdad"/>
          <w:bCs/>
        </w:rPr>
        <w:t>En este sentido, d</w:t>
      </w:r>
      <w:r w:rsidR="00B12737" w:rsidRPr="00B12737">
        <w:rPr>
          <w:rFonts w:ascii="Cambria" w:hAnsi="Cambria" w:cs="Baghdad"/>
          <w:bCs/>
        </w:rPr>
        <w:t>urante este tercer trimestr</w:t>
      </w:r>
      <w:r w:rsidR="00B12737">
        <w:rPr>
          <w:rFonts w:ascii="Cambria" w:hAnsi="Cambria" w:cs="Baghdad"/>
          <w:bCs/>
        </w:rPr>
        <w:t xml:space="preserve">e de 2019, </w:t>
      </w:r>
      <w:r w:rsidR="00B12737" w:rsidRPr="00B12737">
        <w:rPr>
          <w:rFonts w:ascii="Cambria" w:hAnsi="Cambria" w:cs="Baghdad"/>
          <w:bCs/>
        </w:rPr>
        <w:t xml:space="preserve">el precio de la vivienda </w:t>
      </w:r>
      <w:r w:rsidR="006526A8">
        <w:rPr>
          <w:rFonts w:ascii="Cambria" w:hAnsi="Cambria" w:cs="Baghdad"/>
          <w:bCs/>
        </w:rPr>
        <w:t xml:space="preserve">ha continuado </w:t>
      </w:r>
      <w:r w:rsidR="0082419E">
        <w:rPr>
          <w:rFonts w:ascii="Cambria" w:hAnsi="Cambria" w:cs="Baghdad"/>
          <w:bCs/>
        </w:rPr>
        <w:t>su escalada</w:t>
      </w:r>
      <w:r w:rsidR="00B12737" w:rsidRPr="00B12737">
        <w:rPr>
          <w:rFonts w:ascii="Cambria" w:hAnsi="Cambria" w:cs="Baghdad"/>
          <w:bCs/>
        </w:rPr>
        <w:t>, aunque de manera más atenuada</w:t>
      </w:r>
      <w:r w:rsidR="006526A8">
        <w:rPr>
          <w:rFonts w:ascii="Cambria" w:hAnsi="Cambria" w:cs="Baghdad"/>
          <w:bCs/>
        </w:rPr>
        <w:t xml:space="preserve"> que los trimestres anteriores</w:t>
      </w:r>
      <w:r w:rsidR="00B12737">
        <w:rPr>
          <w:rFonts w:ascii="Cambria" w:hAnsi="Cambria" w:cs="Baghdad"/>
          <w:bCs/>
        </w:rPr>
        <w:t xml:space="preserve">. </w:t>
      </w:r>
    </w:p>
    <w:p w14:paraId="76B861E6" w14:textId="77777777" w:rsidR="000437F8" w:rsidRDefault="000437F8" w:rsidP="0061763D">
      <w:pPr>
        <w:spacing w:line="276" w:lineRule="auto"/>
        <w:jc w:val="both"/>
        <w:rPr>
          <w:rFonts w:ascii="Cambria" w:hAnsi="Cambria" w:cs="Baghdad"/>
          <w:bCs/>
        </w:rPr>
      </w:pPr>
    </w:p>
    <w:p w14:paraId="1A90A865" w14:textId="19869FB6" w:rsidR="000437F8" w:rsidRDefault="00B3416C" w:rsidP="007B735E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Pese a la </w:t>
      </w:r>
      <w:r w:rsidRPr="007B735E">
        <w:rPr>
          <w:rFonts w:ascii="Cambria" w:hAnsi="Cambria" w:cs="Baghdad"/>
          <w:bCs/>
        </w:rPr>
        <w:t>incertidumbre política e internacional, la economía española sigue superando las tasas de crecimie</w:t>
      </w:r>
      <w:r>
        <w:rPr>
          <w:rFonts w:ascii="Cambria" w:hAnsi="Cambria" w:cs="Baghdad"/>
          <w:bCs/>
        </w:rPr>
        <w:t xml:space="preserve">nto de la zona euro. En este sentido, la accesibilidad a las condiciones de financiación y el mantenimiento de las perspectivas de crecimiento para la economía española, son las dos principales causas del momento tan positivo en el que se encuentra el sector inmobiliario en España. A pesar de </w:t>
      </w:r>
      <w:r w:rsidR="007A4FA2" w:rsidRPr="007A4FA2">
        <w:rPr>
          <w:rFonts w:ascii="Cambria" w:hAnsi="Cambria" w:cs="Baghdad"/>
          <w:bCs/>
        </w:rPr>
        <w:t xml:space="preserve">la leve desaceleración acontecida durante los últimos meses, se mantiene un crecimiento sostenido </w:t>
      </w:r>
      <w:r w:rsidR="007A4FA2">
        <w:rPr>
          <w:rFonts w:ascii="Cambria" w:hAnsi="Cambria" w:cs="Baghdad"/>
          <w:bCs/>
        </w:rPr>
        <w:t xml:space="preserve">de la economía española. </w:t>
      </w:r>
      <w:r w:rsidR="007B735E" w:rsidRPr="007B735E">
        <w:rPr>
          <w:rFonts w:ascii="Cambria" w:hAnsi="Cambria" w:cs="Baghdad"/>
          <w:bCs/>
        </w:rPr>
        <w:t>El dato de crecim</w:t>
      </w:r>
      <w:r w:rsidR="007B735E">
        <w:rPr>
          <w:rFonts w:ascii="Cambria" w:hAnsi="Cambria" w:cs="Baghdad"/>
          <w:bCs/>
        </w:rPr>
        <w:t xml:space="preserve">iento publicado por el Banco de </w:t>
      </w:r>
      <w:r w:rsidR="007B735E" w:rsidRPr="007B735E">
        <w:rPr>
          <w:rFonts w:ascii="Cambria" w:hAnsi="Cambria" w:cs="Baghdad"/>
          <w:bCs/>
        </w:rPr>
        <w:t xml:space="preserve">España para el </w:t>
      </w:r>
      <w:r w:rsidR="007B735E" w:rsidRPr="007B735E">
        <w:rPr>
          <w:rFonts w:ascii="Cambria" w:hAnsi="Cambria" w:cs="Baghdad"/>
          <w:bCs/>
        </w:rPr>
        <w:lastRenderedPageBreak/>
        <w:t xml:space="preserve">cierre del segundo trimestre es del 2,3% interanual, una décima por debajo </w:t>
      </w:r>
      <w:r w:rsidR="007B735E">
        <w:rPr>
          <w:rFonts w:ascii="Cambria" w:hAnsi="Cambria" w:cs="Baghdad"/>
          <w:bCs/>
        </w:rPr>
        <w:t xml:space="preserve">del periodo anterior. </w:t>
      </w:r>
    </w:p>
    <w:p w14:paraId="0026CF3B" w14:textId="77777777" w:rsidR="007B735E" w:rsidRDefault="007B735E" w:rsidP="007B735E">
      <w:pPr>
        <w:spacing w:line="276" w:lineRule="auto"/>
        <w:jc w:val="both"/>
        <w:rPr>
          <w:rFonts w:ascii="Cambria" w:hAnsi="Cambria" w:cs="Baghdad"/>
          <w:bCs/>
        </w:rPr>
      </w:pPr>
    </w:p>
    <w:p w14:paraId="4008EB16" w14:textId="77777777" w:rsidR="005D33B5" w:rsidRDefault="005D33B5" w:rsidP="007B735E">
      <w:pPr>
        <w:spacing w:line="276" w:lineRule="auto"/>
        <w:jc w:val="both"/>
        <w:rPr>
          <w:rFonts w:ascii="Cambria" w:hAnsi="Cambria" w:cs="Baghdad"/>
          <w:bCs/>
        </w:rPr>
      </w:pPr>
    </w:p>
    <w:p w14:paraId="312F916C" w14:textId="3D3EC996" w:rsidR="005D33B5" w:rsidRPr="005D33B5" w:rsidRDefault="005D33B5" w:rsidP="007B735E">
      <w:pPr>
        <w:spacing w:line="276" w:lineRule="auto"/>
        <w:jc w:val="both"/>
        <w:rPr>
          <w:rFonts w:ascii="Cambria" w:hAnsi="Cambria" w:cs="Baghdad"/>
          <w:b/>
          <w:bCs/>
        </w:rPr>
      </w:pPr>
      <w:r w:rsidRPr="005D33B5">
        <w:rPr>
          <w:rFonts w:ascii="Cambria" w:hAnsi="Cambria" w:cs="Baghdad"/>
          <w:b/>
          <w:bCs/>
        </w:rPr>
        <w:t xml:space="preserve">Crecimiento sostenido por comunidades autónomas </w:t>
      </w:r>
    </w:p>
    <w:p w14:paraId="578E1BB0" w14:textId="048927AF" w:rsidR="005D33B5" w:rsidRDefault="00700C74" w:rsidP="007B735E">
      <w:pPr>
        <w:spacing w:line="276" w:lineRule="auto"/>
        <w:jc w:val="both"/>
        <w:rPr>
          <w:rFonts w:ascii="Cambria" w:hAnsi="Cambria" w:cs="Baghdad"/>
          <w:bCs/>
        </w:rPr>
      </w:pPr>
      <w:r w:rsidRPr="00700C74">
        <w:rPr>
          <w:rFonts w:ascii="Cambria" w:hAnsi="Cambria" w:cs="Baghdad"/>
          <w:bCs/>
        </w:rPr>
        <w:t xml:space="preserve">El ranking de precios por comunidad autónoma continúa sin apenas cambios </w:t>
      </w:r>
      <w:r w:rsidR="006526A8">
        <w:rPr>
          <w:rFonts w:ascii="Cambria" w:hAnsi="Cambria" w:cs="Baghdad"/>
          <w:bCs/>
        </w:rPr>
        <w:t>respecto a</w:t>
      </w:r>
      <w:r w:rsidRPr="00700C74">
        <w:rPr>
          <w:rFonts w:ascii="Cambria" w:hAnsi="Cambria" w:cs="Baghdad"/>
          <w:bCs/>
        </w:rPr>
        <w:t xml:space="preserve"> los datos registrados </w:t>
      </w:r>
      <w:r w:rsidR="006526A8">
        <w:rPr>
          <w:rFonts w:ascii="Cambria" w:hAnsi="Cambria" w:cs="Baghdad"/>
          <w:bCs/>
        </w:rPr>
        <w:t>hasta la mitad de 2019</w:t>
      </w:r>
      <w:r w:rsidRPr="00700C74">
        <w:rPr>
          <w:rFonts w:ascii="Cambria" w:hAnsi="Cambria" w:cs="Baghdad"/>
          <w:bCs/>
        </w:rPr>
        <w:t xml:space="preserve">. En este sentido, </w:t>
      </w:r>
      <w:r w:rsidR="0023509E">
        <w:rPr>
          <w:rFonts w:ascii="Cambria" w:hAnsi="Cambria" w:cs="Baghdad"/>
          <w:bCs/>
        </w:rPr>
        <w:t xml:space="preserve">en el tercer trimestre las Islas Baleares (+9,0%), La Rioja (+7,7%) y Cataluña (+7,3%) han sido las regiones que han liderado el crecimiento nacional, que ha sido generalizado en </w:t>
      </w:r>
      <w:r w:rsidR="005D33B5" w:rsidRPr="005D33B5">
        <w:rPr>
          <w:rFonts w:ascii="Cambria" w:hAnsi="Cambria" w:cs="Baghdad"/>
          <w:bCs/>
        </w:rPr>
        <w:t>todas</w:t>
      </w:r>
      <w:r w:rsidR="005D33B5">
        <w:rPr>
          <w:rFonts w:ascii="Cambria" w:hAnsi="Cambria" w:cs="Baghdad"/>
          <w:bCs/>
        </w:rPr>
        <w:t xml:space="preserve"> l</w:t>
      </w:r>
      <w:r w:rsidR="005D33B5" w:rsidRPr="005D33B5">
        <w:rPr>
          <w:rFonts w:ascii="Cambria" w:hAnsi="Cambria" w:cs="Baghdad"/>
          <w:bCs/>
        </w:rPr>
        <w:t>a</w:t>
      </w:r>
      <w:r w:rsidR="005D33B5">
        <w:rPr>
          <w:rFonts w:ascii="Cambria" w:hAnsi="Cambria" w:cs="Baghdad"/>
          <w:bCs/>
        </w:rPr>
        <w:t xml:space="preserve">s comunidades a </w:t>
      </w:r>
      <w:r w:rsidR="005D33B5" w:rsidRPr="005D33B5">
        <w:rPr>
          <w:rFonts w:ascii="Cambria" w:hAnsi="Cambria" w:cs="Baghdad"/>
          <w:bCs/>
        </w:rPr>
        <w:t>excepción de Galicia (-2,2%)</w:t>
      </w:r>
    </w:p>
    <w:p w14:paraId="010D112B" w14:textId="77777777" w:rsidR="005D33B5" w:rsidRDefault="005D33B5" w:rsidP="007B735E">
      <w:pPr>
        <w:spacing w:line="276" w:lineRule="auto"/>
        <w:jc w:val="both"/>
        <w:rPr>
          <w:rFonts w:ascii="Cambria" w:hAnsi="Cambria" w:cs="Baghdad"/>
          <w:bCs/>
        </w:rPr>
      </w:pPr>
    </w:p>
    <w:p w14:paraId="181C9613" w14:textId="7A14BF49" w:rsidR="005950ED" w:rsidRDefault="005D33B5" w:rsidP="007B735E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Así, </w:t>
      </w:r>
      <w:r w:rsidRPr="005D33B5">
        <w:rPr>
          <w:rFonts w:ascii="Cambria" w:hAnsi="Cambria" w:cs="Baghdad"/>
          <w:bCs/>
        </w:rPr>
        <w:t xml:space="preserve">Baleares sigue siendo la comunidad con valores más altos, con un </w:t>
      </w:r>
      <w:r>
        <w:rPr>
          <w:rFonts w:ascii="Cambria" w:hAnsi="Cambria" w:cs="Baghdad"/>
          <w:bCs/>
        </w:rPr>
        <w:t>precio</w:t>
      </w:r>
      <w:r w:rsidRPr="005D33B5">
        <w:rPr>
          <w:rFonts w:ascii="Cambria" w:hAnsi="Cambria" w:cs="Baghdad"/>
          <w:bCs/>
        </w:rPr>
        <w:t xml:space="preserve"> </w:t>
      </w:r>
      <w:r w:rsidR="0023509E">
        <w:rPr>
          <w:rFonts w:ascii="Cambria" w:hAnsi="Cambria" w:cs="Baghdad"/>
          <w:bCs/>
        </w:rPr>
        <w:t xml:space="preserve">medio </w:t>
      </w:r>
      <w:r w:rsidRPr="005D33B5">
        <w:rPr>
          <w:rFonts w:ascii="Cambria" w:hAnsi="Cambria" w:cs="Baghdad"/>
          <w:bCs/>
        </w:rPr>
        <w:t xml:space="preserve">por metro cuadrado de 2.417 €. La segunda posición la ocupa </w:t>
      </w:r>
      <w:r w:rsidR="00C160CF">
        <w:rPr>
          <w:rFonts w:ascii="Cambria" w:hAnsi="Cambria" w:cs="Baghdad"/>
          <w:bCs/>
        </w:rPr>
        <w:t xml:space="preserve">la Comunidad de </w:t>
      </w:r>
      <w:r w:rsidRPr="005D33B5">
        <w:rPr>
          <w:rFonts w:ascii="Cambria" w:hAnsi="Cambria" w:cs="Baghdad"/>
          <w:bCs/>
        </w:rPr>
        <w:t>Madrid, con 2.246 €/m²; seguida por País Vasco, que se sitúa este trimestre en un valor de 2.229 €/m². La parte inferior del ranking la encabeza Extremadura, con un valor de 830 €/m², seguida por Castilla la Mancha con 872 €/m²; siendo estas las únicas comunidades con unitarios inferiores a los 1.000 €/m².</w:t>
      </w:r>
      <w:r w:rsidR="005950ED">
        <w:rPr>
          <w:rFonts w:ascii="Cambria" w:hAnsi="Cambria" w:cs="Baghdad"/>
          <w:bCs/>
        </w:rPr>
        <w:t xml:space="preserve"> Asimismo, d</w:t>
      </w:r>
      <w:r w:rsidR="005950ED" w:rsidRPr="005950ED">
        <w:rPr>
          <w:rFonts w:ascii="Cambria" w:hAnsi="Cambria" w:cs="Baghdad"/>
          <w:bCs/>
        </w:rPr>
        <w:t xml:space="preserve">esde la emisión </w:t>
      </w:r>
      <w:r w:rsidR="005950ED">
        <w:rPr>
          <w:rFonts w:ascii="Cambria" w:hAnsi="Cambria" w:cs="Baghdad"/>
          <w:bCs/>
        </w:rPr>
        <w:t>del último informe realizado por Gesvalt, han disminuido</w:t>
      </w:r>
      <w:r w:rsidR="005950ED" w:rsidRPr="005950ED">
        <w:rPr>
          <w:rFonts w:ascii="Cambria" w:hAnsi="Cambria" w:cs="Baghdad"/>
          <w:bCs/>
        </w:rPr>
        <w:t xml:space="preserve"> de 18 a 15 las provincias con un valor unitario inferior a los 1.000€/m². </w:t>
      </w:r>
    </w:p>
    <w:p w14:paraId="04BA5FA2" w14:textId="77777777" w:rsidR="00D2152B" w:rsidRDefault="00D2152B" w:rsidP="007B735E">
      <w:pPr>
        <w:spacing w:line="276" w:lineRule="auto"/>
        <w:jc w:val="both"/>
        <w:rPr>
          <w:rFonts w:ascii="Cambria" w:hAnsi="Cambria" w:cs="Baghdad"/>
          <w:bCs/>
        </w:rPr>
      </w:pPr>
    </w:p>
    <w:p w14:paraId="161665C5" w14:textId="627BCA5A" w:rsidR="00C160CF" w:rsidRDefault="00090367" w:rsidP="00090367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>Por otro lado, el ranking de precios por capitales de provincia  se mantiene sin cambios en comparación con los datos aportados por Gesvalt en el segundo trimestre año</w:t>
      </w:r>
      <w:proofErr w:type="gramStart"/>
      <w:r>
        <w:rPr>
          <w:rFonts w:ascii="Cambria" w:hAnsi="Cambria" w:cs="Baghdad"/>
          <w:bCs/>
        </w:rPr>
        <w:t xml:space="preserve">.  </w:t>
      </w:r>
      <w:proofErr w:type="gramEnd"/>
      <w:r w:rsidRPr="00090367">
        <w:rPr>
          <w:rFonts w:ascii="Cambria" w:hAnsi="Cambria" w:cs="Baghdad"/>
          <w:bCs/>
        </w:rPr>
        <w:t>San Sebastián registra un ligero aumento hasta alcanzar un promedio de 3.996 €/m²</w:t>
      </w:r>
      <w:r w:rsidR="0023509E">
        <w:rPr>
          <w:rFonts w:ascii="Cambria" w:hAnsi="Cambria" w:cs="Baghdad"/>
          <w:bCs/>
        </w:rPr>
        <w:t>,</w:t>
      </w:r>
      <w:r w:rsidRPr="00090367">
        <w:rPr>
          <w:rFonts w:ascii="Cambria" w:hAnsi="Cambria" w:cs="Baghdad"/>
          <w:bCs/>
        </w:rPr>
        <w:t xml:space="preserve"> Barcelona disminuye levemente hasta los 3.352 €/m²</w:t>
      </w:r>
      <w:proofErr w:type="gramStart"/>
      <w:r w:rsidR="0023509E">
        <w:rPr>
          <w:rFonts w:ascii="Cambria" w:hAnsi="Cambria" w:cs="Baghdad"/>
          <w:bCs/>
        </w:rPr>
        <w:t>,</w:t>
      </w:r>
      <w:r w:rsidRPr="00090367">
        <w:rPr>
          <w:rFonts w:ascii="Cambria" w:hAnsi="Cambria" w:cs="Baghdad"/>
          <w:bCs/>
        </w:rPr>
        <w:t>Madrid</w:t>
      </w:r>
      <w:proofErr w:type="gramEnd"/>
      <w:r w:rsidRPr="00090367">
        <w:rPr>
          <w:rFonts w:ascii="Cambria" w:hAnsi="Cambria" w:cs="Baghdad"/>
          <w:bCs/>
        </w:rPr>
        <w:t xml:space="preserve"> incrementa sus precios llegando a los hasta los 3.280 €/m² y Bilbao aumenta su precio respecto al trimestre anterior hasta los 2.501 €/m². </w:t>
      </w:r>
      <w:r w:rsidR="00C160CF">
        <w:rPr>
          <w:rFonts w:ascii="Cambria" w:hAnsi="Cambria" w:cs="Baghdad"/>
          <w:bCs/>
        </w:rPr>
        <w:t>Además</w:t>
      </w:r>
      <w:r w:rsidRPr="00090367">
        <w:rPr>
          <w:rFonts w:ascii="Cambria" w:hAnsi="Cambria" w:cs="Baghdad"/>
          <w:bCs/>
        </w:rPr>
        <w:t>, Palma de Mallorca registra un precio unitario de 2.307 €/m².</w:t>
      </w:r>
      <w:r>
        <w:rPr>
          <w:rFonts w:ascii="Cambria" w:hAnsi="Cambria" w:cs="Baghdad"/>
          <w:bCs/>
        </w:rPr>
        <w:t xml:space="preserve"> </w:t>
      </w:r>
    </w:p>
    <w:p w14:paraId="7ACA851A" w14:textId="77777777" w:rsidR="00C160CF" w:rsidRDefault="00C160CF" w:rsidP="00090367">
      <w:pPr>
        <w:spacing w:line="276" w:lineRule="auto"/>
        <w:jc w:val="both"/>
        <w:rPr>
          <w:rFonts w:ascii="Cambria" w:hAnsi="Cambria" w:cs="Baghdad"/>
          <w:bCs/>
        </w:rPr>
      </w:pPr>
    </w:p>
    <w:p w14:paraId="28945D3F" w14:textId="24A8EAD7" w:rsidR="00090367" w:rsidRDefault="00090367" w:rsidP="00090367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En lo que respecta a </w:t>
      </w:r>
      <w:r w:rsidRPr="00090367">
        <w:rPr>
          <w:rFonts w:ascii="Cambria" w:hAnsi="Cambria" w:cs="Baghdad"/>
          <w:bCs/>
        </w:rPr>
        <w:t xml:space="preserve">los municipios de más de 50.000 habitantes, el ranking de municipios </w:t>
      </w:r>
      <w:r w:rsidR="0023509E">
        <w:rPr>
          <w:rFonts w:ascii="Cambria" w:hAnsi="Cambria" w:cs="Baghdad"/>
          <w:bCs/>
        </w:rPr>
        <w:t>del precio medio más elevado</w:t>
      </w:r>
      <w:r w:rsidR="0023509E" w:rsidRPr="00090367">
        <w:rPr>
          <w:rFonts w:ascii="Cambria" w:hAnsi="Cambria" w:cs="Baghdad"/>
          <w:bCs/>
        </w:rPr>
        <w:t xml:space="preserve"> </w:t>
      </w:r>
      <w:r w:rsidRPr="00090367">
        <w:rPr>
          <w:rFonts w:ascii="Cambria" w:hAnsi="Cambria" w:cs="Baghdad"/>
          <w:bCs/>
        </w:rPr>
        <w:t>lo encabeza Sant Cugat del Vallés con 3.379 €/m², seguida por Pozuelo de Alarcón con 3.208 €/m². La tercera posición es para Getxo (3.135 €/m²), la cuarta para Castelldefels (3.105 €/m²)</w:t>
      </w:r>
      <w:r w:rsidR="0023509E">
        <w:rPr>
          <w:rFonts w:ascii="Cambria" w:hAnsi="Cambria" w:cs="Baghdad"/>
          <w:bCs/>
        </w:rPr>
        <w:t xml:space="preserve"> y</w:t>
      </w:r>
      <w:r w:rsidRPr="00090367">
        <w:rPr>
          <w:rFonts w:ascii="Cambria" w:hAnsi="Cambria" w:cs="Baghdad"/>
          <w:bCs/>
        </w:rPr>
        <w:t xml:space="preserve"> </w:t>
      </w:r>
      <w:r w:rsidR="0023509E">
        <w:rPr>
          <w:rFonts w:ascii="Cambria" w:hAnsi="Cambria" w:cs="Baghdad"/>
          <w:bCs/>
        </w:rPr>
        <w:t>c</w:t>
      </w:r>
      <w:r w:rsidRPr="00090367">
        <w:rPr>
          <w:rFonts w:ascii="Cambria" w:hAnsi="Cambria" w:cs="Baghdad"/>
          <w:bCs/>
        </w:rPr>
        <w:t>ierra este ranking Majadahonda, con un unitario de 3.011 €/m².</w:t>
      </w:r>
    </w:p>
    <w:p w14:paraId="046A318A" w14:textId="77777777" w:rsidR="00090367" w:rsidRDefault="00090367" w:rsidP="00D2152B">
      <w:pPr>
        <w:spacing w:line="276" w:lineRule="auto"/>
        <w:jc w:val="both"/>
        <w:rPr>
          <w:rFonts w:ascii="Cambria" w:hAnsi="Cambria" w:cs="Baghdad"/>
          <w:bCs/>
        </w:rPr>
      </w:pPr>
    </w:p>
    <w:p w14:paraId="5D474D65" w14:textId="4BE9F7EA" w:rsidR="00D2152B" w:rsidRPr="00730F8F" w:rsidRDefault="00C160CF" w:rsidP="00D2152B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El Informe de Vivienda de Gesvalt también recoge datos </w:t>
      </w:r>
      <w:r w:rsidR="0023509E">
        <w:rPr>
          <w:rFonts w:ascii="Cambria" w:hAnsi="Cambria" w:cs="Baghdad"/>
          <w:bCs/>
        </w:rPr>
        <w:t xml:space="preserve">adicionales </w:t>
      </w:r>
      <w:r>
        <w:rPr>
          <w:rFonts w:ascii="Cambria" w:hAnsi="Cambria" w:cs="Baghdad"/>
          <w:bCs/>
        </w:rPr>
        <w:t>de l</w:t>
      </w:r>
      <w:r w:rsidR="00D2152B">
        <w:rPr>
          <w:rFonts w:ascii="Cambria" w:hAnsi="Cambria" w:cs="Baghdad"/>
          <w:bCs/>
        </w:rPr>
        <w:t xml:space="preserve">as </w:t>
      </w:r>
      <w:r>
        <w:rPr>
          <w:rFonts w:ascii="Cambria" w:hAnsi="Cambria" w:cs="Baghdad"/>
          <w:bCs/>
        </w:rPr>
        <w:t xml:space="preserve">principales ciudades españolas. En </w:t>
      </w:r>
      <w:r w:rsidR="00D2152B" w:rsidRPr="00D2152B">
        <w:rPr>
          <w:rFonts w:ascii="Cambria" w:hAnsi="Cambria" w:cs="Baghdad"/>
          <w:bCs/>
        </w:rPr>
        <w:t xml:space="preserve">Madrid se vuelve a manifestar el incremento de precios en barrios periféricos, motivados por el desplazamiento de la demanda a causa de la escasez de stock a precios razonables en ubicaciones más céntricas. Los distritos de Madrid que más han incrementado su precio de venta son Villa de Vallecas (+11% </w:t>
      </w:r>
      <w:r w:rsidR="00D2152B" w:rsidRPr="00D2152B">
        <w:rPr>
          <w:rFonts w:ascii="Cambria" w:hAnsi="Cambria" w:cs="Baghdad"/>
          <w:bCs/>
        </w:rPr>
        <w:lastRenderedPageBreak/>
        <w:t>interanual), Moratalaz (+9%), Vicálvaro (+8,4%) y el Puente de Vallecas (+8,1%). En Barcelona, la tendencia ha sido más estable, siendo los barrios con incrementos los siguientes: Horta-</w:t>
      </w:r>
      <w:proofErr w:type="spellStart"/>
      <w:r w:rsidR="00D2152B" w:rsidRPr="00D2152B">
        <w:rPr>
          <w:rFonts w:ascii="Cambria" w:hAnsi="Cambria" w:cs="Baghdad"/>
          <w:bCs/>
        </w:rPr>
        <w:t>Guinardó</w:t>
      </w:r>
      <w:proofErr w:type="spellEnd"/>
      <w:r w:rsidR="00D2152B" w:rsidRPr="00D2152B">
        <w:rPr>
          <w:rFonts w:ascii="Cambria" w:hAnsi="Cambria" w:cs="Baghdad"/>
          <w:bCs/>
        </w:rPr>
        <w:t xml:space="preserve"> (+1,5%), </w:t>
      </w:r>
      <w:proofErr w:type="spellStart"/>
      <w:r w:rsidR="00D2152B" w:rsidRPr="00D2152B">
        <w:rPr>
          <w:rFonts w:ascii="Cambria" w:hAnsi="Cambria" w:cs="Baghdad"/>
          <w:bCs/>
        </w:rPr>
        <w:t>Nou</w:t>
      </w:r>
      <w:proofErr w:type="spellEnd"/>
      <w:r w:rsidR="00D2152B" w:rsidRPr="00D2152B">
        <w:rPr>
          <w:rFonts w:ascii="Cambria" w:hAnsi="Cambria" w:cs="Baghdad"/>
          <w:bCs/>
        </w:rPr>
        <w:t xml:space="preserve"> </w:t>
      </w:r>
      <w:proofErr w:type="spellStart"/>
      <w:r w:rsidR="00D2152B" w:rsidRPr="00D2152B">
        <w:rPr>
          <w:rFonts w:ascii="Cambria" w:hAnsi="Cambria" w:cs="Baghdad"/>
          <w:bCs/>
        </w:rPr>
        <w:t>Barris</w:t>
      </w:r>
      <w:proofErr w:type="spellEnd"/>
      <w:r w:rsidR="00D2152B" w:rsidRPr="00D2152B">
        <w:rPr>
          <w:rFonts w:ascii="Cambria" w:hAnsi="Cambria" w:cs="Baghdad"/>
          <w:bCs/>
        </w:rPr>
        <w:t xml:space="preserve"> (+1,5%), Les </w:t>
      </w:r>
      <w:proofErr w:type="spellStart"/>
      <w:r w:rsidR="00D2152B" w:rsidRPr="00D2152B">
        <w:rPr>
          <w:rFonts w:ascii="Cambria" w:hAnsi="Cambria" w:cs="Baghdad"/>
          <w:bCs/>
        </w:rPr>
        <w:t>Corts</w:t>
      </w:r>
      <w:proofErr w:type="spellEnd"/>
      <w:r w:rsidR="00D2152B" w:rsidRPr="00D2152B">
        <w:rPr>
          <w:rFonts w:ascii="Cambria" w:hAnsi="Cambria" w:cs="Baghdad"/>
          <w:bCs/>
        </w:rPr>
        <w:t xml:space="preserve"> (+0,7%) y San Martí (+0,1%)</w:t>
      </w:r>
    </w:p>
    <w:p w14:paraId="7CF38F02" w14:textId="77777777" w:rsidR="00D2152B" w:rsidRDefault="00D2152B" w:rsidP="007B735E">
      <w:pPr>
        <w:spacing w:line="276" w:lineRule="auto"/>
        <w:jc w:val="both"/>
        <w:rPr>
          <w:rFonts w:ascii="Cambria" w:hAnsi="Cambria" w:cs="Baghdad"/>
          <w:bCs/>
        </w:rPr>
      </w:pPr>
    </w:p>
    <w:p w14:paraId="22D06645" w14:textId="2C4B973E" w:rsidR="005950ED" w:rsidRDefault="005950ED" w:rsidP="007B735E">
      <w:pPr>
        <w:spacing w:line="276" w:lineRule="auto"/>
        <w:jc w:val="both"/>
        <w:rPr>
          <w:rFonts w:ascii="Cambria" w:hAnsi="Cambria" w:cs="Baghdad"/>
          <w:b/>
          <w:bCs/>
        </w:rPr>
      </w:pPr>
      <w:r w:rsidRPr="005950ED">
        <w:rPr>
          <w:rFonts w:ascii="Cambria" w:hAnsi="Cambria" w:cs="Baghdad"/>
          <w:b/>
          <w:bCs/>
        </w:rPr>
        <w:t xml:space="preserve">Ligeras caídas en el precio del alquiler </w:t>
      </w:r>
    </w:p>
    <w:p w14:paraId="038985E3" w14:textId="77777777" w:rsidR="0082419E" w:rsidRDefault="0082419E" w:rsidP="007B735E">
      <w:pPr>
        <w:spacing w:line="276" w:lineRule="auto"/>
        <w:jc w:val="both"/>
        <w:rPr>
          <w:rFonts w:ascii="Cambria" w:hAnsi="Cambria" w:cs="Baghdad"/>
          <w:b/>
          <w:bCs/>
        </w:rPr>
      </w:pPr>
    </w:p>
    <w:p w14:paraId="6AF5F219" w14:textId="7F46081A" w:rsidR="005950ED" w:rsidRDefault="00730F8F" w:rsidP="007B735E">
      <w:pPr>
        <w:spacing w:line="276" w:lineRule="auto"/>
        <w:jc w:val="both"/>
        <w:rPr>
          <w:rFonts w:ascii="Cambria" w:hAnsi="Cambria" w:cs="Baghdad"/>
          <w:bCs/>
        </w:rPr>
      </w:pPr>
      <w:r w:rsidRPr="00730F8F">
        <w:rPr>
          <w:rFonts w:ascii="Cambria" w:hAnsi="Cambria" w:cs="Baghdad"/>
          <w:bCs/>
        </w:rPr>
        <w:t xml:space="preserve">Este trimestre se ha comenzado a observar una ligera caída en </w:t>
      </w:r>
      <w:r>
        <w:rPr>
          <w:rFonts w:ascii="Cambria" w:hAnsi="Cambria" w:cs="Baghdad"/>
          <w:bCs/>
        </w:rPr>
        <w:t>el techo de precio</w:t>
      </w:r>
      <w:r w:rsidRPr="00730F8F">
        <w:rPr>
          <w:rFonts w:ascii="Cambria" w:hAnsi="Cambria" w:cs="Baghdad"/>
          <w:bCs/>
        </w:rPr>
        <w:t xml:space="preserve"> del alquiler de las provincias que aco</w:t>
      </w:r>
      <w:r>
        <w:rPr>
          <w:rFonts w:ascii="Cambria" w:hAnsi="Cambria" w:cs="Baghdad"/>
          <w:bCs/>
        </w:rPr>
        <w:t xml:space="preserve">stumbran a liderar este ranking. Así, </w:t>
      </w:r>
      <w:r w:rsidRPr="00730F8F">
        <w:rPr>
          <w:rFonts w:ascii="Cambria" w:hAnsi="Cambria" w:cs="Baghdad"/>
          <w:bCs/>
        </w:rPr>
        <w:t>Barcelona (16,91 €/m²/mes) encabeza el ranking en cuanto a precios de alquiler más elevados, seguido de cerca por Madrid (15,64 €/m²/mes), Baleares (13,83 €/m²/mes) y Guipúzcoa (13,80 €/m²/mes).</w:t>
      </w:r>
      <w:r w:rsidR="00CF031B">
        <w:rPr>
          <w:rFonts w:ascii="Cambria" w:hAnsi="Cambria" w:cs="Baghdad"/>
          <w:bCs/>
        </w:rPr>
        <w:t xml:space="preserve"> Por el contrario, l</w:t>
      </w:r>
      <w:r w:rsidR="00CF031B" w:rsidRPr="00CF031B">
        <w:rPr>
          <w:rFonts w:ascii="Cambria" w:hAnsi="Cambria" w:cs="Baghdad"/>
          <w:bCs/>
        </w:rPr>
        <w:t>as provincias con menor tendencia al alquiler y, por tanto, menores rentas, son Cuenca, Jaén, Teruel, Lugo, Ciudad Real, Zamora y Cáceres; todas con unitarios de renta por debajo de los 5 €/m²/mes.</w:t>
      </w:r>
    </w:p>
    <w:p w14:paraId="379198CF" w14:textId="77777777" w:rsidR="00D2152B" w:rsidRDefault="00D2152B" w:rsidP="007B735E">
      <w:pPr>
        <w:spacing w:line="276" w:lineRule="auto"/>
        <w:jc w:val="both"/>
        <w:rPr>
          <w:rFonts w:ascii="Cambria" w:hAnsi="Cambria" w:cs="Baghdad"/>
          <w:b/>
          <w:bCs/>
        </w:rPr>
      </w:pPr>
    </w:p>
    <w:p w14:paraId="4925E3BA" w14:textId="017CD1EC" w:rsidR="00121C5D" w:rsidRDefault="00034096" w:rsidP="007B735E">
      <w:pPr>
        <w:spacing w:line="276" w:lineRule="auto"/>
        <w:jc w:val="both"/>
        <w:rPr>
          <w:rFonts w:ascii="Cambria" w:hAnsi="Cambria" w:cs="Baghdad"/>
          <w:b/>
          <w:bCs/>
        </w:rPr>
      </w:pPr>
      <w:r>
        <w:rPr>
          <w:rFonts w:ascii="Cambria" w:hAnsi="Cambria" w:cs="Baghdad"/>
          <w:b/>
          <w:bCs/>
        </w:rPr>
        <w:t xml:space="preserve">Aumento de la oferta de vivienda de obra nueva </w:t>
      </w:r>
    </w:p>
    <w:p w14:paraId="12EB749E" w14:textId="77777777" w:rsidR="00034096" w:rsidRDefault="00034096" w:rsidP="007B735E">
      <w:pPr>
        <w:spacing w:line="276" w:lineRule="auto"/>
        <w:jc w:val="both"/>
        <w:rPr>
          <w:rFonts w:ascii="Cambria" w:hAnsi="Cambria" w:cs="Baghdad"/>
          <w:bCs/>
        </w:rPr>
      </w:pPr>
    </w:p>
    <w:p w14:paraId="2D1B625E" w14:textId="72244F6B" w:rsidR="00034096" w:rsidRPr="00034096" w:rsidRDefault="00C160CF" w:rsidP="007B735E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>Las</w:t>
      </w:r>
      <w:r w:rsidR="00034096" w:rsidRPr="00034096">
        <w:rPr>
          <w:rFonts w:ascii="Cambria" w:hAnsi="Cambria" w:cs="Baghdad"/>
          <w:bCs/>
        </w:rPr>
        <w:t xml:space="preserve"> compañías de promoción inmobiliaria que operan en </w:t>
      </w:r>
      <w:r w:rsidR="00034096">
        <w:rPr>
          <w:rFonts w:ascii="Cambria" w:hAnsi="Cambria" w:cs="Baghdad"/>
          <w:bCs/>
        </w:rPr>
        <w:t xml:space="preserve">nuestro </w:t>
      </w:r>
      <w:r w:rsidR="00034096" w:rsidRPr="00034096">
        <w:rPr>
          <w:rFonts w:ascii="Cambria" w:hAnsi="Cambria" w:cs="Baghdad"/>
          <w:bCs/>
        </w:rPr>
        <w:t xml:space="preserve">país </w:t>
      </w:r>
      <w:r w:rsidR="00034096">
        <w:rPr>
          <w:rFonts w:ascii="Cambria" w:hAnsi="Cambria" w:cs="Baghdad"/>
          <w:bCs/>
        </w:rPr>
        <w:t xml:space="preserve">continúan, </w:t>
      </w:r>
      <w:r w:rsidR="00874910">
        <w:rPr>
          <w:rFonts w:ascii="Cambria" w:hAnsi="Cambria" w:cs="Baghdad"/>
          <w:bCs/>
        </w:rPr>
        <w:t>al igual que</w:t>
      </w:r>
      <w:r>
        <w:rPr>
          <w:rFonts w:ascii="Cambria" w:hAnsi="Cambria" w:cs="Baghdad"/>
          <w:bCs/>
        </w:rPr>
        <w:t xml:space="preserve"> </w:t>
      </w:r>
      <w:r w:rsidR="00034096">
        <w:rPr>
          <w:rFonts w:ascii="Cambria" w:hAnsi="Cambria" w:cs="Baghdad"/>
          <w:bCs/>
        </w:rPr>
        <w:t xml:space="preserve">en los trimestres anteriores, </w:t>
      </w:r>
      <w:r w:rsidR="00874910">
        <w:rPr>
          <w:rFonts w:ascii="Cambria" w:hAnsi="Cambria" w:cs="Baghdad"/>
          <w:bCs/>
        </w:rPr>
        <w:t xml:space="preserve">aumentando </w:t>
      </w:r>
      <w:r w:rsidR="00034096">
        <w:rPr>
          <w:rFonts w:ascii="Cambria" w:hAnsi="Cambria" w:cs="Baghdad"/>
          <w:bCs/>
        </w:rPr>
        <w:t xml:space="preserve">la oferta de vivienda de obra nueva, especialmente en ciudades que registran cada vez más demanda como es el caso de Madrid o Barcelona. </w:t>
      </w:r>
      <w:r w:rsidR="00874910">
        <w:rPr>
          <w:rFonts w:ascii="Cambria" w:hAnsi="Cambria" w:cs="Baghdad"/>
          <w:bCs/>
        </w:rPr>
        <w:t>Según</w:t>
      </w:r>
      <w:r w:rsidR="00034096">
        <w:rPr>
          <w:rFonts w:ascii="Cambria" w:hAnsi="Cambria" w:cs="Baghdad"/>
          <w:bCs/>
        </w:rPr>
        <w:t xml:space="preserve"> datos</w:t>
      </w:r>
      <w:r w:rsidR="00F0576A">
        <w:rPr>
          <w:rFonts w:ascii="Cambria" w:hAnsi="Cambria" w:cs="Baghdad"/>
          <w:bCs/>
        </w:rPr>
        <w:t xml:space="preserve"> acumulados</w:t>
      </w:r>
      <w:r w:rsidR="00034096">
        <w:rPr>
          <w:rFonts w:ascii="Cambria" w:hAnsi="Cambria" w:cs="Baghdad"/>
          <w:bCs/>
        </w:rPr>
        <w:t xml:space="preserve"> de </w:t>
      </w:r>
      <w:r w:rsidR="00B81227">
        <w:rPr>
          <w:rFonts w:ascii="Cambria" w:hAnsi="Cambria" w:cs="Baghdad"/>
          <w:bCs/>
        </w:rPr>
        <w:t>julio</w:t>
      </w:r>
      <w:r w:rsidR="00034096">
        <w:rPr>
          <w:rFonts w:ascii="Cambria" w:hAnsi="Cambria" w:cs="Baghdad"/>
          <w:bCs/>
        </w:rPr>
        <w:t xml:space="preserve"> de 2019, se ha producido una subida del </w:t>
      </w:r>
      <w:r w:rsidR="00B81227">
        <w:rPr>
          <w:rFonts w:ascii="Cambria" w:hAnsi="Cambria" w:cs="Baghdad"/>
          <w:bCs/>
        </w:rPr>
        <w:t>10,5</w:t>
      </w:r>
      <w:r w:rsidR="00034096">
        <w:rPr>
          <w:rFonts w:ascii="Cambria" w:hAnsi="Cambria" w:cs="Baghdad"/>
          <w:bCs/>
        </w:rPr>
        <w:t>% en la concesión de certificaciones de obra y de un 1</w:t>
      </w:r>
      <w:r w:rsidR="00B81227">
        <w:rPr>
          <w:rFonts w:ascii="Cambria" w:hAnsi="Cambria" w:cs="Baghdad"/>
          <w:bCs/>
        </w:rPr>
        <w:t>0,4</w:t>
      </w:r>
      <w:r w:rsidR="00034096">
        <w:rPr>
          <w:rFonts w:ascii="Cambria" w:hAnsi="Cambria" w:cs="Baghdad"/>
          <w:bCs/>
        </w:rPr>
        <w:t xml:space="preserve">% en </w:t>
      </w:r>
      <w:r w:rsidR="00034096" w:rsidRPr="00034096">
        <w:rPr>
          <w:rFonts w:ascii="Cambria" w:hAnsi="Cambria" w:cs="Baghdad"/>
          <w:bCs/>
        </w:rPr>
        <w:t>visados de dirección de obra</w:t>
      </w:r>
      <w:r w:rsidR="00034096">
        <w:rPr>
          <w:rFonts w:ascii="Cambria" w:hAnsi="Cambria" w:cs="Baghdad"/>
          <w:bCs/>
        </w:rPr>
        <w:t xml:space="preserve">, en comparación con el mismo período del año anterior. Así, </w:t>
      </w:r>
      <w:r w:rsidR="00874910">
        <w:rPr>
          <w:rFonts w:ascii="Cambria" w:hAnsi="Cambria" w:cs="Baghdad"/>
          <w:bCs/>
        </w:rPr>
        <w:t xml:space="preserve">las comunidades autónomas que </w:t>
      </w:r>
      <w:r w:rsidR="00034096">
        <w:rPr>
          <w:rFonts w:ascii="Cambria" w:hAnsi="Cambria" w:cs="Baghdad"/>
          <w:bCs/>
        </w:rPr>
        <w:t xml:space="preserve">lideran este ranking </w:t>
      </w:r>
      <w:r w:rsidR="00874910">
        <w:rPr>
          <w:rFonts w:ascii="Cambria" w:hAnsi="Cambria" w:cs="Baghdad"/>
          <w:bCs/>
        </w:rPr>
        <w:t xml:space="preserve">son </w:t>
      </w:r>
      <w:r w:rsidR="00034096" w:rsidRPr="00034096">
        <w:rPr>
          <w:rFonts w:ascii="Cambria" w:hAnsi="Cambria" w:cs="Baghdad"/>
          <w:bCs/>
        </w:rPr>
        <w:t>la Comunidad de Madrid, Andalucía y Cataluña.</w:t>
      </w:r>
    </w:p>
    <w:p w14:paraId="4B6BCBF8" w14:textId="77777777" w:rsidR="00034096" w:rsidRDefault="00034096" w:rsidP="007B735E">
      <w:pPr>
        <w:spacing w:line="276" w:lineRule="auto"/>
        <w:jc w:val="both"/>
        <w:rPr>
          <w:rFonts w:ascii="Cambria" w:hAnsi="Cambria" w:cs="Baghdad"/>
          <w:b/>
          <w:bCs/>
        </w:rPr>
      </w:pPr>
    </w:p>
    <w:p w14:paraId="07B8EB53" w14:textId="178FFE87" w:rsidR="007B735E" w:rsidRPr="007B735E" w:rsidRDefault="007B735E" w:rsidP="007B735E">
      <w:pPr>
        <w:spacing w:line="276" w:lineRule="auto"/>
        <w:jc w:val="both"/>
        <w:rPr>
          <w:rFonts w:ascii="Cambria" w:hAnsi="Cambria" w:cs="Baghdad"/>
          <w:b/>
          <w:bCs/>
        </w:rPr>
      </w:pPr>
      <w:r w:rsidRPr="007B735E">
        <w:rPr>
          <w:rFonts w:ascii="Cambria" w:hAnsi="Cambria" w:cs="Baghdad"/>
          <w:b/>
          <w:bCs/>
        </w:rPr>
        <w:t>Se mantienen los niv</w:t>
      </w:r>
      <w:r>
        <w:rPr>
          <w:rFonts w:ascii="Cambria" w:hAnsi="Cambria" w:cs="Baghdad"/>
          <w:b/>
          <w:bCs/>
        </w:rPr>
        <w:t xml:space="preserve">eles de compraventa de viviendas </w:t>
      </w:r>
    </w:p>
    <w:p w14:paraId="4579DC2E" w14:textId="77777777" w:rsidR="00034096" w:rsidRDefault="00034096" w:rsidP="00121C5D">
      <w:pPr>
        <w:spacing w:line="276" w:lineRule="auto"/>
        <w:jc w:val="both"/>
        <w:rPr>
          <w:rFonts w:ascii="Cambria" w:hAnsi="Cambria" w:cs="Baghdad"/>
          <w:bCs/>
        </w:rPr>
      </w:pPr>
    </w:p>
    <w:p w14:paraId="51EA3E58" w14:textId="175B4C87" w:rsidR="00121C5D" w:rsidRDefault="00121C5D" w:rsidP="00121C5D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Con respecto a </w:t>
      </w:r>
      <w:r w:rsidRPr="00121C5D">
        <w:rPr>
          <w:rFonts w:ascii="Cambria" w:hAnsi="Cambria" w:cs="Baghdad"/>
          <w:bCs/>
        </w:rPr>
        <w:t xml:space="preserve">las operaciones de compraventa de vivienda, </w:t>
      </w:r>
      <w:r>
        <w:rPr>
          <w:rFonts w:ascii="Cambria" w:hAnsi="Cambria" w:cs="Baghdad"/>
          <w:bCs/>
        </w:rPr>
        <w:t>según datos del</w:t>
      </w:r>
      <w:r w:rsidRPr="00121C5D">
        <w:rPr>
          <w:rFonts w:ascii="Cambria" w:hAnsi="Cambria" w:cs="Baghdad"/>
          <w:bCs/>
        </w:rPr>
        <w:t xml:space="preserve"> INE </w:t>
      </w:r>
      <w:r>
        <w:rPr>
          <w:rFonts w:ascii="Cambria" w:hAnsi="Cambria" w:cs="Baghdad"/>
          <w:bCs/>
        </w:rPr>
        <w:t>se han realizado un total de</w:t>
      </w:r>
      <w:r w:rsidRPr="00121C5D">
        <w:rPr>
          <w:rFonts w:ascii="Cambria" w:hAnsi="Cambria" w:cs="Baghdad"/>
          <w:bCs/>
        </w:rPr>
        <w:t xml:space="preserve"> 263.557</w:t>
      </w:r>
      <w:r>
        <w:rPr>
          <w:rFonts w:ascii="Cambria" w:hAnsi="Cambria" w:cs="Baghdad"/>
          <w:bCs/>
        </w:rPr>
        <w:t xml:space="preserve"> durante </w:t>
      </w:r>
      <w:r w:rsidR="00B14A03">
        <w:rPr>
          <w:rFonts w:ascii="Cambria" w:hAnsi="Cambria" w:cs="Baghdad"/>
          <w:bCs/>
        </w:rPr>
        <w:t>los seis primeros meses</w:t>
      </w:r>
      <w:r>
        <w:rPr>
          <w:rFonts w:ascii="Cambria" w:hAnsi="Cambria" w:cs="Baghdad"/>
          <w:bCs/>
        </w:rPr>
        <w:t xml:space="preserve"> del año, un</w:t>
      </w:r>
      <w:r w:rsidRPr="00121C5D">
        <w:rPr>
          <w:rFonts w:ascii="Cambria" w:hAnsi="Cambria" w:cs="Baghdad"/>
          <w:bCs/>
        </w:rPr>
        <w:t xml:space="preserve"> dato muy similar al </w:t>
      </w:r>
      <w:r>
        <w:rPr>
          <w:rFonts w:ascii="Cambria" w:hAnsi="Cambria" w:cs="Baghdad"/>
          <w:bCs/>
        </w:rPr>
        <w:t xml:space="preserve">registrado durante el </w:t>
      </w:r>
      <w:r w:rsidRPr="00121C5D">
        <w:rPr>
          <w:rFonts w:ascii="Cambria" w:hAnsi="Cambria" w:cs="Baghdad"/>
          <w:bCs/>
        </w:rPr>
        <w:t xml:space="preserve">mismo periodo de 2018, </w:t>
      </w:r>
      <w:r w:rsidR="00874910">
        <w:rPr>
          <w:rFonts w:ascii="Cambria" w:hAnsi="Cambria" w:cs="Baghdad"/>
          <w:bCs/>
        </w:rPr>
        <w:t xml:space="preserve">habiéndose </w:t>
      </w:r>
      <w:r w:rsidRPr="00121C5D">
        <w:rPr>
          <w:rFonts w:ascii="Cambria" w:hAnsi="Cambria" w:cs="Baghdad"/>
          <w:bCs/>
        </w:rPr>
        <w:t>increment</w:t>
      </w:r>
      <w:r w:rsidR="00B3416C">
        <w:rPr>
          <w:rFonts w:ascii="Cambria" w:hAnsi="Cambria" w:cs="Baghdad"/>
          <w:bCs/>
        </w:rPr>
        <w:t>a</w:t>
      </w:r>
      <w:r w:rsidRPr="00121C5D">
        <w:rPr>
          <w:rFonts w:ascii="Cambria" w:hAnsi="Cambria" w:cs="Baghdad"/>
          <w:bCs/>
        </w:rPr>
        <w:t>do este año en un 0,3%.</w:t>
      </w:r>
    </w:p>
    <w:p w14:paraId="576ABE8C" w14:textId="77777777" w:rsidR="00121C5D" w:rsidRDefault="00121C5D" w:rsidP="007B735E">
      <w:pPr>
        <w:spacing w:line="276" w:lineRule="auto"/>
        <w:jc w:val="both"/>
        <w:rPr>
          <w:rFonts w:ascii="Cambria" w:hAnsi="Cambria" w:cs="Baghdad"/>
          <w:bCs/>
        </w:rPr>
      </w:pPr>
    </w:p>
    <w:p w14:paraId="450D9F58" w14:textId="28152E36" w:rsidR="007B735E" w:rsidRDefault="007B735E" w:rsidP="007B735E">
      <w:pPr>
        <w:spacing w:line="276" w:lineRule="auto"/>
        <w:jc w:val="both"/>
        <w:rPr>
          <w:rFonts w:ascii="Cambria" w:hAnsi="Cambria" w:cs="Baghdad"/>
          <w:bCs/>
        </w:rPr>
      </w:pPr>
      <w:r w:rsidRPr="007B735E">
        <w:rPr>
          <w:rFonts w:ascii="Cambria" w:hAnsi="Cambria" w:cs="Baghdad"/>
          <w:bCs/>
        </w:rPr>
        <w:t>Las comunidades</w:t>
      </w:r>
      <w:r>
        <w:rPr>
          <w:rFonts w:ascii="Cambria" w:hAnsi="Cambria" w:cs="Baghdad"/>
          <w:bCs/>
        </w:rPr>
        <w:t xml:space="preserve"> que lideran la venta de viviendas en nuestro país son</w:t>
      </w:r>
      <w:r w:rsidRPr="007B735E">
        <w:rPr>
          <w:rFonts w:ascii="Cambria" w:hAnsi="Cambria" w:cs="Baghdad"/>
          <w:bCs/>
        </w:rPr>
        <w:t xml:space="preserve"> Andalucía, Cataluña, Comunidad Valenciana y Comunidad de </w:t>
      </w:r>
      <w:r>
        <w:rPr>
          <w:rFonts w:ascii="Cambria" w:hAnsi="Cambria" w:cs="Baghdad"/>
          <w:bCs/>
        </w:rPr>
        <w:t xml:space="preserve">Madrid, </w:t>
      </w:r>
      <w:r w:rsidR="00B14A03">
        <w:rPr>
          <w:rFonts w:ascii="Cambria" w:hAnsi="Cambria" w:cs="Baghdad"/>
          <w:bCs/>
        </w:rPr>
        <w:t>que concentran</w:t>
      </w:r>
      <w:r>
        <w:rPr>
          <w:rFonts w:ascii="Cambria" w:hAnsi="Cambria" w:cs="Baghdad"/>
          <w:bCs/>
        </w:rPr>
        <w:t xml:space="preserve"> casi </w:t>
      </w:r>
      <w:r w:rsidRPr="007B735E">
        <w:rPr>
          <w:rFonts w:ascii="Cambria" w:hAnsi="Cambria" w:cs="Baghdad"/>
          <w:bCs/>
        </w:rPr>
        <w:t>dos tercios del total de la</w:t>
      </w:r>
      <w:r>
        <w:rPr>
          <w:rFonts w:ascii="Cambria" w:hAnsi="Cambria" w:cs="Baghdad"/>
          <w:bCs/>
        </w:rPr>
        <w:t>s compraventas que se realizan, un registro similar al experimentado al cierr</w:t>
      </w:r>
      <w:r w:rsidRPr="007B735E">
        <w:rPr>
          <w:rFonts w:ascii="Cambria" w:hAnsi="Cambria" w:cs="Baghdad"/>
          <w:bCs/>
        </w:rPr>
        <w:t>e de</w:t>
      </w:r>
      <w:r>
        <w:rPr>
          <w:rFonts w:ascii="Cambria" w:hAnsi="Cambria" w:cs="Baghdad"/>
          <w:bCs/>
        </w:rPr>
        <w:t xml:space="preserve">l primer trimestre. El resto de </w:t>
      </w:r>
      <w:r w:rsidRPr="007B735E">
        <w:rPr>
          <w:rFonts w:ascii="Cambria" w:hAnsi="Cambria" w:cs="Baghdad"/>
          <w:bCs/>
        </w:rPr>
        <w:t>las operaciones se reparten de forma más uniforme en</w:t>
      </w:r>
      <w:r w:rsidR="00874910">
        <w:rPr>
          <w:rFonts w:ascii="Cambria" w:hAnsi="Cambria" w:cs="Baghdad"/>
          <w:bCs/>
        </w:rPr>
        <w:t>tre</w:t>
      </w:r>
      <w:r w:rsidRPr="007B735E">
        <w:rPr>
          <w:rFonts w:ascii="Cambria" w:hAnsi="Cambria" w:cs="Baghdad"/>
          <w:bCs/>
        </w:rPr>
        <w:t xml:space="preserve"> las comunidades restantes.</w:t>
      </w:r>
    </w:p>
    <w:p w14:paraId="3D30F4F3" w14:textId="77777777" w:rsidR="00D2152B" w:rsidRDefault="00D2152B" w:rsidP="007B735E">
      <w:pPr>
        <w:spacing w:line="276" w:lineRule="auto"/>
        <w:jc w:val="both"/>
        <w:rPr>
          <w:rFonts w:ascii="Cambria" w:hAnsi="Cambria" w:cs="Baghdad"/>
          <w:bCs/>
        </w:rPr>
      </w:pPr>
    </w:p>
    <w:p w14:paraId="24E45A73" w14:textId="7ABE331D" w:rsidR="00121C5D" w:rsidRPr="007B735E" w:rsidRDefault="00121C5D" w:rsidP="007B735E">
      <w:pPr>
        <w:spacing w:line="276" w:lineRule="auto"/>
        <w:jc w:val="both"/>
        <w:rPr>
          <w:rFonts w:ascii="Cambria" w:hAnsi="Cambria" w:cs="Baghdad"/>
          <w:bCs/>
        </w:rPr>
      </w:pPr>
      <w:r w:rsidRPr="00121C5D">
        <w:rPr>
          <w:rFonts w:ascii="Cambria" w:hAnsi="Cambria" w:cs="Baghdad"/>
          <w:bCs/>
        </w:rPr>
        <w:lastRenderedPageBreak/>
        <w:t xml:space="preserve">Teniendo en cuenta que el Euribor se ha mantenido en valores negativos, </w:t>
      </w:r>
      <w:r w:rsidR="005E3157">
        <w:rPr>
          <w:rFonts w:ascii="Cambria" w:hAnsi="Cambria" w:cs="Baghdad"/>
          <w:bCs/>
        </w:rPr>
        <w:t>desde Gesvalt se prevé</w:t>
      </w:r>
      <w:r w:rsidRPr="00121C5D">
        <w:rPr>
          <w:rFonts w:ascii="Cambria" w:hAnsi="Cambria" w:cs="Baghdad"/>
          <w:bCs/>
        </w:rPr>
        <w:t xml:space="preserve"> que la demanda continúe aumentando durante el último trimestre de 2019, ya que el actual precio de las hipotecas está motivando a los posibles compradores.</w:t>
      </w:r>
    </w:p>
    <w:p w14:paraId="5C1D960E" w14:textId="77777777" w:rsidR="007B735E" w:rsidRDefault="007B735E" w:rsidP="007B735E">
      <w:pPr>
        <w:spacing w:line="276" w:lineRule="auto"/>
        <w:jc w:val="both"/>
        <w:rPr>
          <w:rFonts w:ascii="Cambria" w:hAnsi="Cambria" w:cs="Baghdad"/>
          <w:bCs/>
        </w:rPr>
      </w:pPr>
    </w:p>
    <w:p w14:paraId="4461C6DA" w14:textId="77777777" w:rsidR="003A01F4" w:rsidRDefault="003A01F4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b/>
          <w:bCs/>
          <w:sz w:val="22"/>
          <w:szCs w:val="22"/>
        </w:rPr>
      </w:pPr>
      <w:bookmarkStart w:id="2" w:name="_Hlk510432707"/>
    </w:p>
    <w:p w14:paraId="4BC26243" w14:textId="77777777" w:rsidR="00874910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b/>
          <w:bCs/>
          <w:sz w:val="22"/>
          <w:szCs w:val="22"/>
        </w:rPr>
      </w:pPr>
      <w:r>
        <w:rPr>
          <w:rFonts w:ascii="Cambria" w:hAnsi="Cambria" w:cs="Baghdad"/>
          <w:b/>
          <w:bCs/>
          <w:sz w:val="22"/>
          <w:szCs w:val="22"/>
        </w:rPr>
        <w:t>Acerca de Gesvalt</w:t>
      </w:r>
    </w:p>
    <w:p w14:paraId="2F5BE464" w14:textId="2493A771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color w:val="0000FF"/>
          <w:sz w:val="22"/>
          <w:szCs w:val="22"/>
        </w:rPr>
        <w:t xml:space="preserve">Gesvalt </w:t>
      </w:r>
      <w:r>
        <w:rPr>
          <w:rFonts w:ascii="Cambria" w:hAnsi="Cambria" w:cs="Baghdad"/>
          <w:sz w:val="22"/>
          <w:szCs w:val="22"/>
        </w:rPr>
        <w:t xml:space="preserve">es una compañía de referencia en el sector de la consultoría, valoración y actuaciones técnicas. Su experiencia de más de 20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14:paraId="73559975" w14:textId="237FC51E" w:rsidR="000B0265" w:rsidRDefault="000B0265" w:rsidP="000B026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Cuenta con gran implantación de oficinas en España, Portugal y Colombia. La firma forma parte también de la red internacional VRG que le permite operar en los principales países del mundo. </w:t>
      </w:r>
    </w:p>
    <w:p w14:paraId="35ED0FEC" w14:textId="77777777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Puedes seguirnos en: </w:t>
      </w:r>
    </w:p>
    <w:p w14:paraId="6288924B" w14:textId="1F3937D4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noProof/>
          <w:sz w:val="22"/>
          <w:szCs w:val="22"/>
          <w:lang w:val="es-ES" w:eastAsia="es-ES"/>
        </w:rPr>
        <w:drawing>
          <wp:inline distT="0" distB="0" distL="0" distR="0" wp14:anchorId="7772890C" wp14:editId="67180308">
            <wp:extent cx="533400" cy="533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"/>
          <w:sz w:val="22"/>
          <w:szCs w:val="22"/>
        </w:rPr>
        <w:t xml:space="preserve"> </w:t>
      </w:r>
      <w:r>
        <w:rPr>
          <w:rFonts w:ascii="Cambria" w:hAnsi="Cambria" w:cs="Times"/>
          <w:noProof/>
          <w:sz w:val="22"/>
          <w:szCs w:val="22"/>
          <w:lang w:val="es-ES" w:eastAsia="es-ES"/>
        </w:rPr>
        <w:drawing>
          <wp:inline distT="0" distB="0" distL="0" distR="0" wp14:anchorId="00008787" wp14:editId="17746F91">
            <wp:extent cx="466725" cy="485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144FA" w14:textId="77777777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</w:p>
    <w:p w14:paraId="2A9FFCB8" w14:textId="77777777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</w:p>
    <w:p w14:paraId="56AEE6C6" w14:textId="77777777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b/>
          <w:bCs/>
          <w:sz w:val="22"/>
          <w:szCs w:val="22"/>
        </w:rPr>
        <w:t xml:space="preserve">Para más información: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B0265" w14:paraId="694E9290" w14:textId="77777777" w:rsidTr="000B0265">
        <w:tc>
          <w:tcPr>
            <w:tcW w:w="4414" w:type="dxa"/>
            <w:hideMark/>
          </w:tcPr>
          <w:p w14:paraId="0ED8222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Ana de la Fuente </w:t>
            </w:r>
          </w:p>
          <w:p w14:paraId="14A3256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Paseo de la Castellana, 141 </w:t>
            </w:r>
          </w:p>
          <w:p w14:paraId="51DEEE8E" w14:textId="77777777" w:rsidR="000B0265" w:rsidRDefault="000B0265">
            <w:pPr>
              <w:rPr>
                <w:rFonts w:ascii="Cambria" w:hAnsi="Cambria"/>
                <w:color w:val="0B4CB4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28046 – Madrid </w:t>
            </w:r>
            <w:hyperlink r:id="rId11" w:history="1">
              <w:r>
                <w:rPr>
                  <w:rStyle w:val="Hipervnculo"/>
                  <w:rFonts w:ascii="Cambria" w:hAnsi="Cambria" w:cs="Times"/>
                  <w:sz w:val="22"/>
                  <w:szCs w:val="22"/>
                </w:rPr>
                <w:t>afuente@gesvalt.es</w:t>
              </w:r>
            </w:hyperlink>
            <w:r>
              <w:rPr>
                <w:rFonts w:ascii="Cambria" w:hAnsi="Cambria"/>
                <w:color w:val="0B4CB4"/>
                <w:sz w:val="22"/>
                <w:szCs w:val="22"/>
              </w:rPr>
              <w:t xml:space="preserve"> </w:t>
            </w:r>
          </w:p>
          <w:p w14:paraId="7072AD60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91 457 60 57 </w:t>
            </w:r>
          </w:p>
        </w:tc>
        <w:tc>
          <w:tcPr>
            <w:tcW w:w="4414" w:type="dxa"/>
            <w:hideMark/>
          </w:tcPr>
          <w:p w14:paraId="7A723C60" w14:textId="59729EB5" w:rsidR="000B0265" w:rsidRDefault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Eva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Tuñas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B831C80" w14:textId="392D8EF4" w:rsidR="000B0265" w:rsidRDefault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B4CB4"/>
                <w:sz w:val="22"/>
                <w:szCs w:val="22"/>
              </w:rPr>
              <w:t>etunas@kreab.com</w:t>
            </w:r>
          </w:p>
          <w:p w14:paraId="3FE90416" w14:textId="0AF4BAB5" w:rsidR="000B0265" w:rsidRDefault="003F19BC" w:rsidP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917 027 170</w:t>
            </w:r>
            <w:r w:rsidR="000B026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0B0265" w:rsidRPr="000C7A73" w14:paraId="491F7145" w14:textId="77777777" w:rsidTr="000B0265">
        <w:tc>
          <w:tcPr>
            <w:tcW w:w="4414" w:type="dxa"/>
          </w:tcPr>
          <w:p w14:paraId="06597E9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14" w:type="dxa"/>
            <w:hideMark/>
          </w:tcPr>
          <w:p w14:paraId="560DC716" w14:textId="728A953F" w:rsidR="00FA6CB7" w:rsidRPr="00180884" w:rsidRDefault="003F19BC" w:rsidP="00FA6CB7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>
              <w:rPr>
                <w:rFonts w:ascii="Cambria" w:hAnsi="Cambria"/>
                <w:sz w:val="22"/>
                <w:szCs w:val="22"/>
                <w:lang w:val="it-IT"/>
              </w:rPr>
              <w:t xml:space="preserve">Daniel Santiago </w:t>
            </w:r>
          </w:p>
          <w:p w14:paraId="699B7C85" w14:textId="2D3297B1" w:rsidR="00FA6CB7" w:rsidRPr="00180884" w:rsidRDefault="003F19BC" w:rsidP="00FA6CB7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>
              <w:rPr>
                <w:rFonts w:ascii="Cambria" w:hAnsi="Cambria"/>
                <w:color w:val="0B4CB4"/>
                <w:sz w:val="22"/>
                <w:szCs w:val="22"/>
                <w:lang w:val="it-IT"/>
              </w:rPr>
              <w:t>dsantiago@kreab.com</w:t>
            </w:r>
          </w:p>
          <w:p w14:paraId="5392FDCD" w14:textId="6829676E" w:rsidR="000B0265" w:rsidRPr="003F19BC" w:rsidRDefault="003F19BC" w:rsidP="003F19BC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F19BC">
              <w:rPr>
                <w:rFonts w:ascii="Cambria" w:hAnsi="Cambria"/>
                <w:sz w:val="22"/>
                <w:szCs w:val="22"/>
                <w:lang w:val="en-US"/>
              </w:rPr>
              <w:t>917 027 170</w:t>
            </w:r>
          </w:p>
        </w:tc>
      </w:tr>
      <w:bookmarkEnd w:id="2"/>
    </w:tbl>
    <w:p w14:paraId="54670864" w14:textId="510BE0D1" w:rsidR="00920080" w:rsidRPr="003F19BC" w:rsidRDefault="00920080" w:rsidP="00A064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/>
          <w:lang w:val="en-US"/>
        </w:rPr>
      </w:pPr>
    </w:p>
    <w:sectPr w:rsidR="00920080" w:rsidRPr="003F19BC" w:rsidSect="00920080">
      <w:headerReference w:type="default" r:id="rId1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EB8AF" w14:textId="77777777" w:rsidR="00CC4341" w:rsidRDefault="00CC4341" w:rsidP="00AD6E95">
      <w:r>
        <w:separator/>
      </w:r>
    </w:p>
  </w:endnote>
  <w:endnote w:type="continuationSeparator" w:id="0">
    <w:p w14:paraId="7687F0FA" w14:textId="77777777" w:rsidR="00CC4341" w:rsidRDefault="00CC4341" w:rsidP="00AD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ghdad">
    <w:altName w:val="Arial"/>
    <w:charset w:val="B2"/>
    <w:family w:val="auto"/>
    <w:pitch w:val="variable"/>
    <w:sig w:usb0="80002003" w:usb1="80000000" w:usb2="00000008" w:usb3="00000000" w:csb0="0000004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FA5EB" w14:textId="77777777" w:rsidR="00CC4341" w:rsidRDefault="00CC4341" w:rsidP="00AD6E95">
      <w:r>
        <w:separator/>
      </w:r>
    </w:p>
  </w:footnote>
  <w:footnote w:type="continuationSeparator" w:id="0">
    <w:p w14:paraId="7870A358" w14:textId="77777777" w:rsidR="00CC4341" w:rsidRDefault="00CC4341" w:rsidP="00AD6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98045" w14:textId="77777777" w:rsidR="004909DE" w:rsidRDefault="004909DE" w:rsidP="00AB7942">
    <w:pPr>
      <w:pStyle w:val="Encabezado"/>
    </w:pPr>
    <w:r>
      <w:rPr>
        <w:rFonts w:ascii="Times" w:hAnsi="Times" w:cs="Times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993A72E" wp14:editId="4081777D">
          <wp:simplePos x="0" y="0"/>
          <wp:positionH relativeFrom="column">
            <wp:posOffset>3768090</wp:posOffset>
          </wp:positionH>
          <wp:positionV relativeFrom="paragraph">
            <wp:posOffset>-19050</wp:posOffset>
          </wp:positionV>
          <wp:extent cx="1571625" cy="452755"/>
          <wp:effectExtent l="0" t="0" r="9525" b="444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</w:t>
    </w:r>
  </w:p>
  <w:p w14:paraId="4A5A30E0" w14:textId="77777777" w:rsidR="00874910" w:rsidRDefault="00874910" w:rsidP="00AB7942">
    <w:pPr>
      <w:pStyle w:val="Encabezado"/>
    </w:pPr>
  </w:p>
  <w:p w14:paraId="5FD620E8" w14:textId="77777777" w:rsidR="00874910" w:rsidRDefault="00874910" w:rsidP="008749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643CE2"/>
    <w:multiLevelType w:val="hybridMultilevel"/>
    <w:tmpl w:val="E99EE84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24A91"/>
    <w:multiLevelType w:val="hybridMultilevel"/>
    <w:tmpl w:val="A39409B0"/>
    <w:lvl w:ilvl="0" w:tplc="0C0A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7C3A20BA"/>
    <w:multiLevelType w:val="hybridMultilevel"/>
    <w:tmpl w:val="86D88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95"/>
    <w:rsid w:val="000209E5"/>
    <w:rsid w:val="00026219"/>
    <w:rsid w:val="00030C2A"/>
    <w:rsid w:val="00032900"/>
    <w:rsid w:val="00034096"/>
    <w:rsid w:val="000437F8"/>
    <w:rsid w:val="00055F34"/>
    <w:rsid w:val="00063E68"/>
    <w:rsid w:val="00082F17"/>
    <w:rsid w:val="00090367"/>
    <w:rsid w:val="000961DD"/>
    <w:rsid w:val="00096772"/>
    <w:rsid w:val="000970CB"/>
    <w:rsid w:val="000A29A9"/>
    <w:rsid w:val="000B0265"/>
    <w:rsid w:val="000C7A73"/>
    <w:rsid w:val="000F12B8"/>
    <w:rsid w:val="00121C5D"/>
    <w:rsid w:val="00123696"/>
    <w:rsid w:val="00124E9E"/>
    <w:rsid w:val="0012610B"/>
    <w:rsid w:val="00126AD3"/>
    <w:rsid w:val="00147BF1"/>
    <w:rsid w:val="00160CBF"/>
    <w:rsid w:val="00164CA0"/>
    <w:rsid w:val="00180884"/>
    <w:rsid w:val="00180C14"/>
    <w:rsid w:val="00180E2F"/>
    <w:rsid w:val="001A1E7D"/>
    <w:rsid w:val="001A7934"/>
    <w:rsid w:val="001C32F2"/>
    <w:rsid w:val="001C4F98"/>
    <w:rsid w:val="00207C8B"/>
    <w:rsid w:val="00224CEE"/>
    <w:rsid w:val="002344A1"/>
    <w:rsid w:val="0023509E"/>
    <w:rsid w:val="00261B70"/>
    <w:rsid w:val="00267C73"/>
    <w:rsid w:val="002801CB"/>
    <w:rsid w:val="00283174"/>
    <w:rsid w:val="00284B9A"/>
    <w:rsid w:val="00295EB1"/>
    <w:rsid w:val="002B3618"/>
    <w:rsid w:val="002C3030"/>
    <w:rsid w:val="002C3817"/>
    <w:rsid w:val="002D220E"/>
    <w:rsid w:val="002D6008"/>
    <w:rsid w:val="002E6C1C"/>
    <w:rsid w:val="002E71F4"/>
    <w:rsid w:val="00304504"/>
    <w:rsid w:val="00306FE5"/>
    <w:rsid w:val="00307D77"/>
    <w:rsid w:val="003411DF"/>
    <w:rsid w:val="0035210E"/>
    <w:rsid w:val="0036033B"/>
    <w:rsid w:val="00380F42"/>
    <w:rsid w:val="00383069"/>
    <w:rsid w:val="00394265"/>
    <w:rsid w:val="003A01F4"/>
    <w:rsid w:val="003B278F"/>
    <w:rsid w:val="003B2837"/>
    <w:rsid w:val="003B728E"/>
    <w:rsid w:val="003C6CAD"/>
    <w:rsid w:val="003D1C24"/>
    <w:rsid w:val="003D2ABC"/>
    <w:rsid w:val="003E7508"/>
    <w:rsid w:val="003F19BC"/>
    <w:rsid w:val="003F5DAF"/>
    <w:rsid w:val="003F6674"/>
    <w:rsid w:val="00415540"/>
    <w:rsid w:val="00441796"/>
    <w:rsid w:val="00450F32"/>
    <w:rsid w:val="00450F3D"/>
    <w:rsid w:val="00461C12"/>
    <w:rsid w:val="004746CE"/>
    <w:rsid w:val="00481337"/>
    <w:rsid w:val="004909DE"/>
    <w:rsid w:val="004B05F5"/>
    <w:rsid w:val="004B2C9A"/>
    <w:rsid w:val="004B49F2"/>
    <w:rsid w:val="004B5569"/>
    <w:rsid w:val="004C4C8E"/>
    <w:rsid w:val="004D7C50"/>
    <w:rsid w:val="004E07FF"/>
    <w:rsid w:val="004E6DC9"/>
    <w:rsid w:val="004E7DF9"/>
    <w:rsid w:val="005025BE"/>
    <w:rsid w:val="00525C6F"/>
    <w:rsid w:val="00594AC7"/>
    <w:rsid w:val="005950ED"/>
    <w:rsid w:val="005A41B0"/>
    <w:rsid w:val="005A5AA0"/>
    <w:rsid w:val="005B6ADD"/>
    <w:rsid w:val="005C0CD7"/>
    <w:rsid w:val="005D33B5"/>
    <w:rsid w:val="005D6655"/>
    <w:rsid w:val="005E146D"/>
    <w:rsid w:val="005E3157"/>
    <w:rsid w:val="006051BE"/>
    <w:rsid w:val="0061763D"/>
    <w:rsid w:val="0062364D"/>
    <w:rsid w:val="0065077B"/>
    <w:rsid w:val="006526A8"/>
    <w:rsid w:val="00670988"/>
    <w:rsid w:val="006727A2"/>
    <w:rsid w:val="00695541"/>
    <w:rsid w:val="006A4DA9"/>
    <w:rsid w:val="006B65EF"/>
    <w:rsid w:val="006B74A6"/>
    <w:rsid w:val="006C6EE5"/>
    <w:rsid w:val="006D0D76"/>
    <w:rsid w:val="006D4F86"/>
    <w:rsid w:val="006D67D5"/>
    <w:rsid w:val="006E55D3"/>
    <w:rsid w:val="006E55EB"/>
    <w:rsid w:val="006F4BF7"/>
    <w:rsid w:val="00700C74"/>
    <w:rsid w:val="00707C33"/>
    <w:rsid w:val="00730F8F"/>
    <w:rsid w:val="00764EBE"/>
    <w:rsid w:val="00767D2A"/>
    <w:rsid w:val="00772E74"/>
    <w:rsid w:val="00773FB0"/>
    <w:rsid w:val="0078176F"/>
    <w:rsid w:val="00787D15"/>
    <w:rsid w:val="007A4FA2"/>
    <w:rsid w:val="007B0E84"/>
    <w:rsid w:val="007B735E"/>
    <w:rsid w:val="007C395A"/>
    <w:rsid w:val="007C5712"/>
    <w:rsid w:val="007D2838"/>
    <w:rsid w:val="007E26A4"/>
    <w:rsid w:val="007E7893"/>
    <w:rsid w:val="007F0522"/>
    <w:rsid w:val="007F1BD6"/>
    <w:rsid w:val="00814136"/>
    <w:rsid w:val="0082419E"/>
    <w:rsid w:val="00834FF7"/>
    <w:rsid w:val="00835B72"/>
    <w:rsid w:val="00841A60"/>
    <w:rsid w:val="008470B3"/>
    <w:rsid w:val="00853BFB"/>
    <w:rsid w:val="0086061E"/>
    <w:rsid w:val="0086435D"/>
    <w:rsid w:val="00874910"/>
    <w:rsid w:val="008749C5"/>
    <w:rsid w:val="008846E2"/>
    <w:rsid w:val="00887CE9"/>
    <w:rsid w:val="00893757"/>
    <w:rsid w:val="008B5DCA"/>
    <w:rsid w:val="008E2E6A"/>
    <w:rsid w:val="008E6757"/>
    <w:rsid w:val="008F7CDF"/>
    <w:rsid w:val="00910266"/>
    <w:rsid w:val="0091080C"/>
    <w:rsid w:val="009127EF"/>
    <w:rsid w:val="00920080"/>
    <w:rsid w:val="009222BB"/>
    <w:rsid w:val="00926686"/>
    <w:rsid w:val="0093153A"/>
    <w:rsid w:val="0094238A"/>
    <w:rsid w:val="00952AF2"/>
    <w:rsid w:val="0096056F"/>
    <w:rsid w:val="00970DEA"/>
    <w:rsid w:val="00983A18"/>
    <w:rsid w:val="009A39F5"/>
    <w:rsid w:val="009A6192"/>
    <w:rsid w:val="009A63D2"/>
    <w:rsid w:val="009C582F"/>
    <w:rsid w:val="009D2A6B"/>
    <w:rsid w:val="009E0E51"/>
    <w:rsid w:val="00A0006C"/>
    <w:rsid w:val="00A03CCA"/>
    <w:rsid w:val="00A0642D"/>
    <w:rsid w:val="00A15E0E"/>
    <w:rsid w:val="00A363A1"/>
    <w:rsid w:val="00A509DF"/>
    <w:rsid w:val="00A52672"/>
    <w:rsid w:val="00A5315F"/>
    <w:rsid w:val="00A63EB9"/>
    <w:rsid w:val="00A74B1A"/>
    <w:rsid w:val="00A76264"/>
    <w:rsid w:val="00AA558C"/>
    <w:rsid w:val="00AB7942"/>
    <w:rsid w:val="00AC39B2"/>
    <w:rsid w:val="00AD3665"/>
    <w:rsid w:val="00AD6E95"/>
    <w:rsid w:val="00AD7A96"/>
    <w:rsid w:val="00AE0B6C"/>
    <w:rsid w:val="00AE1712"/>
    <w:rsid w:val="00AF3817"/>
    <w:rsid w:val="00B12737"/>
    <w:rsid w:val="00B14A03"/>
    <w:rsid w:val="00B151BA"/>
    <w:rsid w:val="00B30EFD"/>
    <w:rsid w:val="00B3416C"/>
    <w:rsid w:val="00B35BE9"/>
    <w:rsid w:val="00B416B0"/>
    <w:rsid w:val="00B621C8"/>
    <w:rsid w:val="00B6517B"/>
    <w:rsid w:val="00B71CB4"/>
    <w:rsid w:val="00B77B96"/>
    <w:rsid w:val="00B81227"/>
    <w:rsid w:val="00B81F75"/>
    <w:rsid w:val="00B85E47"/>
    <w:rsid w:val="00BB426E"/>
    <w:rsid w:val="00BB4BBB"/>
    <w:rsid w:val="00BB7401"/>
    <w:rsid w:val="00BD358C"/>
    <w:rsid w:val="00BD5F22"/>
    <w:rsid w:val="00BE1917"/>
    <w:rsid w:val="00BE4BA6"/>
    <w:rsid w:val="00BE4E11"/>
    <w:rsid w:val="00C00F2A"/>
    <w:rsid w:val="00C160CF"/>
    <w:rsid w:val="00C30A45"/>
    <w:rsid w:val="00C46BB3"/>
    <w:rsid w:val="00C52BFA"/>
    <w:rsid w:val="00C65521"/>
    <w:rsid w:val="00C66898"/>
    <w:rsid w:val="00C72775"/>
    <w:rsid w:val="00C8012F"/>
    <w:rsid w:val="00C855BD"/>
    <w:rsid w:val="00C90E57"/>
    <w:rsid w:val="00C97651"/>
    <w:rsid w:val="00CB384E"/>
    <w:rsid w:val="00CC0AF1"/>
    <w:rsid w:val="00CC4341"/>
    <w:rsid w:val="00CC51FF"/>
    <w:rsid w:val="00CD42FB"/>
    <w:rsid w:val="00CD6872"/>
    <w:rsid w:val="00CF031B"/>
    <w:rsid w:val="00CF5039"/>
    <w:rsid w:val="00CF7866"/>
    <w:rsid w:val="00D2152B"/>
    <w:rsid w:val="00D2705E"/>
    <w:rsid w:val="00D34958"/>
    <w:rsid w:val="00D34B03"/>
    <w:rsid w:val="00D42A06"/>
    <w:rsid w:val="00D55C90"/>
    <w:rsid w:val="00D777FE"/>
    <w:rsid w:val="00D90DF2"/>
    <w:rsid w:val="00D92F9E"/>
    <w:rsid w:val="00D932D5"/>
    <w:rsid w:val="00D96B69"/>
    <w:rsid w:val="00DA1268"/>
    <w:rsid w:val="00DA2FCD"/>
    <w:rsid w:val="00DA4A72"/>
    <w:rsid w:val="00DC3268"/>
    <w:rsid w:val="00DD6442"/>
    <w:rsid w:val="00DD71B8"/>
    <w:rsid w:val="00DE7F03"/>
    <w:rsid w:val="00DF4CF9"/>
    <w:rsid w:val="00DF701D"/>
    <w:rsid w:val="00E013AC"/>
    <w:rsid w:val="00E16A14"/>
    <w:rsid w:val="00E17677"/>
    <w:rsid w:val="00E20A38"/>
    <w:rsid w:val="00E20BC0"/>
    <w:rsid w:val="00E366FE"/>
    <w:rsid w:val="00E46381"/>
    <w:rsid w:val="00E5718A"/>
    <w:rsid w:val="00E67862"/>
    <w:rsid w:val="00E735C6"/>
    <w:rsid w:val="00E73B77"/>
    <w:rsid w:val="00E86847"/>
    <w:rsid w:val="00EB05AD"/>
    <w:rsid w:val="00EB2DA1"/>
    <w:rsid w:val="00ED34F7"/>
    <w:rsid w:val="00EF2C4F"/>
    <w:rsid w:val="00F0576A"/>
    <w:rsid w:val="00F06820"/>
    <w:rsid w:val="00F27C8F"/>
    <w:rsid w:val="00F456E9"/>
    <w:rsid w:val="00F56048"/>
    <w:rsid w:val="00F6150C"/>
    <w:rsid w:val="00F62FBC"/>
    <w:rsid w:val="00F746D7"/>
    <w:rsid w:val="00F819F5"/>
    <w:rsid w:val="00F91ECB"/>
    <w:rsid w:val="00FA6CB7"/>
    <w:rsid w:val="00FC0619"/>
    <w:rsid w:val="00FC13B0"/>
    <w:rsid w:val="00F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9753F"/>
  <w15:docId w15:val="{356A98B9-DAC8-451F-82AF-9B66EC2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E95"/>
  </w:style>
  <w:style w:type="paragraph" w:styleId="Piedepgina">
    <w:name w:val="footer"/>
    <w:basedOn w:val="Normal"/>
    <w:link w:val="Piedepgina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95"/>
  </w:style>
  <w:style w:type="table" w:styleId="Tablaconcuadrcula">
    <w:name w:val="Table Grid"/>
    <w:basedOn w:val="Tablanormal"/>
    <w:uiPriority w:val="39"/>
    <w:rsid w:val="00AD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E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A0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A06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961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61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6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1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valt.es/sala-de-prens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uente@gesvalt.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666AA6-CE9F-4292-8E3C-769788A6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1244</Words>
  <Characters>6847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Santamaria</dc:creator>
  <cp:keywords/>
  <dc:description/>
  <cp:lastModifiedBy>Daniel Santiago Durán</cp:lastModifiedBy>
  <cp:revision>4</cp:revision>
  <cp:lastPrinted>2019-10-03T07:03:00Z</cp:lastPrinted>
  <dcterms:created xsi:type="dcterms:W3CDTF">2019-10-03T07:03:00Z</dcterms:created>
  <dcterms:modified xsi:type="dcterms:W3CDTF">2019-10-03T08:09:00Z</dcterms:modified>
</cp:coreProperties>
</file>