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36EDA" w14:textId="071C61F6" w:rsidR="00A0642D" w:rsidRPr="00920080" w:rsidRDefault="00A0642D" w:rsidP="00A0642D">
      <w:pPr>
        <w:widowControl w:val="0"/>
        <w:autoSpaceDE w:val="0"/>
        <w:autoSpaceDN w:val="0"/>
        <w:adjustRightInd w:val="0"/>
        <w:spacing w:after="240" w:line="560" w:lineRule="atLeast"/>
        <w:jc w:val="center"/>
        <w:rPr>
          <w:rFonts w:ascii="Cambria" w:hAnsi="Cambria" w:cs="Times"/>
          <w:sz w:val="22"/>
          <w:szCs w:val="22"/>
          <w:u w:val="single"/>
        </w:rPr>
      </w:pPr>
      <w:r>
        <w:rPr>
          <w:rFonts w:ascii="Cambria" w:hAnsi="Cambria" w:cs="Times"/>
          <w:sz w:val="22"/>
          <w:szCs w:val="22"/>
          <w:u w:val="single"/>
        </w:rPr>
        <w:t>Informe de Vivien</w:t>
      </w:r>
      <w:r w:rsidR="00AF3817">
        <w:rPr>
          <w:rFonts w:ascii="Cambria" w:hAnsi="Cambria" w:cs="Times"/>
          <w:sz w:val="22"/>
          <w:szCs w:val="22"/>
          <w:u w:val="single"/>
        </w:rPr>
        <w:t xml:space="preserve">da Gesvalt </w:t>
      </w:r>
      <w:r w:rsidR="00A45248">
        <w:rPr>
          <w:rFonts w:ascii="Cambria" w:hAnsi="Cambria" w:cs="Times"/>
          <w:sz w:val="22"/>
          <w:szCs w:val="22"/>
          <w:u w:val="single"/>
        </w:rPr>
        <w:t>segundo</w:t>
      </w:r>
      <w:r w:rsidR="00F96600">
        <w:rPr>
          <w:rFonts w:ascii="Cambria" w:hAnsi="Cambria" w:cs="Times"/>
          <w:sz w:val="22"/>
          <w:szCs w:val="22"/>
          <w:u w:val="single"/>
        </w:rPr>
        <w:t xml:space="preserve"> trimestre 2020 </w:t>
      </w:r>
    </w:p>
    <w:p w14:paraId="54D5A519" w14:textId="7990EE5F" w:rsidR="00DA4A72" w:rsidRPr="009D18C0" w:rsidRDefault="00FC4D27" w:rsidP="000970CB">
      <w:pPr>
        <w:widowControl w:val="0"/>
        <w:autoSpaceDE w:val="0"/>
        <w:autoSpaceDN w:val="0"/>
        <w:adjustRightInd w:val="0"/>
        <w:spacing w:after="240" w:line="560" w:lineRule="atLeast"/>
        <w:jc w:val="center"/>
        <w:rPr>
          <w:rFonts w:ascii="Cambria" w:hAnsi="Cambria" w:cs="Times"/>
          <w:b/>
          <w:sz w:val="36"/>
          <w:szCs w:val="34"/>
        </w:rPr>
      </w:pPr>
      <w:r>
        <w:rPr>
          <w:rFonts w:ascii="Cambria" w:hAnsi="Cambria" w:cs="Times"/>
          <w:b/>
          <w:sz w:val="36"/>
          <w:szCs w:val="34"/>
        </w:rPr>
        <w:t xml:space="preserve">El Covid consolida la tendencia a la baja del precio de la vivienda, desciende un 2,8% en el tercer trimestre </w:t>
      </w:r>
    </w:p>
    <w:p w14:paraId="46911C1B" w14:textId="5A548C66" w:rsidR="00A45248" w:rsidRPr="00A96FD3" w:rsidRDefault="00A45248" w:rsidP="00A45248">
      <w:pPr>
        <w:pStyle w:val="Prrafodelista"/>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b/>
        </w:rPr>
      </w:pPr>
      <w:bookmarkStart w:id="0" w:name="_Hlk12442681"/>
      <w:r w:rsidRPr="00A96FD3">
        <w:rPr>
          <w:rFonts w:ascii="Cambria" w:hAnsi="Cambria" w:cs="Times"/>
          <w:b/>
        </w:rPr>
        <w:t>El precio medio del metro cuadrado en España se sitúa en 1.3</w:t>
      </w:r>
      <w:r w:rsidR="000D68BD">
        <w:rPr>
          <w:rFonts w:ascii="Cambria" w:hAnsi="Cambria" w:cs="Times"/>
          <w:b/>
        </w:rPr>
        <w:t>87</w:t>
      </w:r>
      <w:r w:rsidRPr="00A96FD3">
        <w:rPr>
          <w:rFonts w:ascii="Cambria" w:hAnsi="Cambria" w:cs="Times"/>
          <w:b/>
        </w:rPr>
        <w:t xml:space="preserve"> €/m²</w:t>
      </w:r>
    </w:p>
    <w:p w14:paraId="00869865" w14:textId="77777777" w:rsidR="00A45248" w:rsidRDefault="00A45248" w:rsidP="00A45248">
      <w:pPr>
        <w:pStyle w:val="Prrafodelista"/>
        <w:widowControl w:val="0"/>
        <w:tabs>
          <w:tab w:val="left" w:pos="220"/>
          <w:tab w:val="left" w:pos="720"/>
        </w:tabs>
        <w:autoSpaceDE w:val="0"/>
        <w:autoSpaceDN w:val="0"/>
        <w:adjustRightInd w:val="0"/>
        <w:spacing w:after="240" w:line="340" w:lineRule="atLeast"/>
        <w:ind w:left="580"/>
        <w:jc w:val="both"/>
        <w:rPr>
          <w:rFonts w:ascii="Cambria" w:hAnsi="Cambria" w:cs="Times"/>
          <w:b/>
        </w:rPr>
      </w:pPr>
    </w:p>
    <w:p w14:paraId="11CA64A5" w14:textId="77777777" w:rsidR="00D03AEC" w:rsidRDefault="00A45248" w:rsidP="00D03AEC">
      <w:pPr>
        <w:pStyle w:val="Prrafodelista"/>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b/>
        </w:rPr>
      </w:pPr>
      <w:r w:rsidRPr="00A45248">
        <w:rPr>
          <w:rFonts w:ascii="Cambria" w:hAnsi="Cambria" w:cs="Times"/>
          <w:b/>
        </w:rPr>
        <w:t>De forma agregada</w:t>
      </w:r>
      <w:r w:rsidR="00FE7EA7">
        <w:rPr>
          <w:rFonts w:ascii="Cambria" w:hAnsi="Cambria" w:cs="Times"/>
          <w:b/>
        </w:rPr>
        <w:t>, desde el inicio de 2020</w:t>
      </w:r>
      <w:r w:rsidRPr="00A45248">
        <w:rPr>
          <w:rFonts w:ascii="Cambria" w:hAnsi="Cambria" w:cs="Times"/>
          <w:b/>
        </w:rPr>
        <w:t xml:space="preserve"> hasta </w:t>
      </w:r>
      <w:r w:rsidR="000D68BD">
        <w:rPr>
          <w:rFonts w:ascii="Cambria" w:hAnsi="Cambria" w:cs="Times"/>
          <w:b/>
        </w:rPr>
        <w:t>julio</w:t>
      </w:r>
      <w:r w:rsidRPr="00A45248">
        <w:rPr>
          <w:rFonts w:ascii="Cambria" w:hAnsi="Cambria" w:cs="Times"/>
          <w:b/>
        </w:rPr>
        <w:t xml:space="preserve">, las operaciones de compraventa de vivienda </w:t>
      </w:r>
      <w:r w:rsidR="000D68BD">
        <w:rPr>
          <w:rFonts w:ascii="Cambria" w:hAnsi="Cambria" w:cs="Times"/>
          <w:b/>
        </w:rPr>
        <w:t>se han reducido</w:t>
      </w:r>
      <w:r w:rsidRPr="00A45248">
        <w:rPr>
          <w:rFonts w:ascii="Cambria" w:hAnsi="Cambria" w:cs="Times"/>
          <w:b/>
        </w:rPr>
        <w:t xml:space="preserve"> un </w:t>
      </w:r>
      <w:r w:rsidR="000D68BD">
        <w:rPr>
          <w:rFonts w:ascii="Cambria" w:hAnsi="Cambria" w:cs="Times"/>
          <w:b/>
        </w:rPr>
        <w:t>25,1</w:t>
      </w:r>
      <w:r w:rsidRPr="00A45248">
        <w:rPr>
          <w:rFonts w:ascii="Cambria" w:hAnsi="Cambria" w:cs="Times"/>
          <w:b/>
        </w:rPr>
        <w:t>%</w:t>
      </w:r>
      <w:bookmarkEnd w:id="0"/>
    </w:p>
    <w:p w14:paraId="1C83C2FE" w14:textId="77777777" w:rsidR="00D03AEC" w:rsidRPr="00D03AEC" w:rsidRDefault="00D03AEC" w:rsidP="00D03AEC">
      <w:pPr>
        <w:pStyle w:val="Prrafodelista"/>
        <w:rPr>
          <w:rFonts w:ascii="Cambria" w:hAnsi="Cambria" w:cs="Times"/>
          <w:b/>
        </w:rPr>
      </w:pPr>
    </w:p>
    <w:p w14:paraId="23D81BB7" w14:textId="7BAA8B5D" w:rsidR="00D03AEC" w:rsidRPr="00D03AEC" w:rsidRDefault="00D03AEC" w:rsidP="00D03AEC">
      <w:pPr>
        <w:pStyle w:val="Prrafodelista"/>
        <w:widowControl w:val="0"/>
        <w:numPr>
          <w:ilvl w:val="0"/>
          <w:numId w:val="4"/>
        </w:numPr>
        <w:tabs>
          <w:tab w:val="left" w:pos="220"/>
          <w:tab w:val="left" w:pos="720"/>
        </w:tabs>
        <w:autoSpaceDE w:val="0"/>
        <w:autoSpaceDN w:val="0"/>
        <w:adjustRightInd w:val="0"/>
        <w:spacing w:after="240" w:line="340" w:lineRule="atLeast"/>
        <w:jc w:val="both"/>
        <w:rPr>
          <w:rFonts w:ascii="Cambria" w:hAnsi="Cambria" w:cs="Times"/>
          <w:b/>
        </w:rPr>
      </w:pPr>
      <w:r w:rsidRPr="00D03AEC">
        <w:rPr>
          <w:rFonts w:ascii="Cambria" w:hAnsi="Cambria" w:cs="Times"/>
          <w:b/>
        </w:rPr>
        <w:t xml:space="preserve">El alquiler ha mostrado un mejor comportamiento respecto al año pasado que el precio de venta y Barcelona (16,66 €/m²/mes), Madrid (16,03 €/m²/mes), Guipúzcoa (14,56 €/m²/mes) y Baleares (13,59 €/m²/mes) se mantienen como las </w:t>
      </w:r>
      <w:r w:rsidR="005E737C">
        <w:rPr>
          <w:rFonts w:ascii="Cambria" w:hAnsi="Cambria" w:cs="Times"/>
          <w:b/>
        </w:rPr>
        <w:t>provincias</w:t>
      </w:r>
      <w:r w:rsidRPr="00D03AEC">
        <w:rPr>
          <w:rFonts w:ascii="Cambria" w:hAnsi="Cambria" w:cs="Times"/>
          <w:b/>
        </w:rPr>
        <w:t xml:space="preserve"> más caras. </w:t>
      </w:r>
    </w:p>
    <w:p w14:paraId="16A8657E" w14:textId="77777777" w:rsidR="00AD6E95" w:rsidRPr="002344A1" w:rsidRDefault="00AD6E95" w:rsidP="00F91ECB">
      <w:pPr>
        <w:widowControl w:val="0"/>
        <w:numPr>
          <w:ilvl w:val="0"/>
          <w:numId w:val="1"/>
        </w:numPr>
        <w:tabs>
          <w:tab w:val="left" w:pos="220"/>
          <w:tab w:val="left" w:pos="720"/>
        </w:tabs>
        <w:autoSpaceDE w:val="0"/>
        <w:autoSpaceDN w:val="0"/>
        <w:adjustRightInd w:val="0"/>
        <w:spacing w:after="240" w:line="340" w:lineRule="atLeast"/>
        <w:ind w:hanging="720"/>
        <w:jc w:val="center"/>
        <w:rPr>
          <w:rFonts w:ascii="Cambria" w:hAnsi="Cambria" w:cs="Times"/>
        </w:rPr>
      </w:pPr>
      <w:r w:rsidRPr="002344A1">
        <w:rPr>
          <w:rFonts w:ascii="Cambria" w:hAnsi="Cambria" w:cs="Times"/>
        </w:rPr>
        <w:t xml:space="preserve">Puedes encontrar esta noticia y otras en </w:t>
      </w:r>
      <w:hyperlink r:id="rId8" w:history="1">
        <w:r w:rsidRPr="002344A1">
          <w:rPr>
            <w:rStyle w:val="Hipervnculo"/>
            <w:rFonts w:ascii="Cambria" w:hAnsi="Cambria" w:cs="Times"/>
          </w:rPr>
          <w:t>nuestra web</w:t>
        </w:r>
      </w:hyperlink>
      <w:r w:rsidRPr="002344A1">
        <w:rPr>
          <w:rFonts w:ascii="Cambria" w:hAnsi="Cambria" w:cs="Times"/>
          <w:color w:val="0B4CB4"/>
        </w:rPr>
        <w:t xml:space="preserve"> </w:t>
      </w:r>
      <w:r w:rsidRPr="002344A1">
        <w:rPr>
          <w:rFonts w:ascii="Cambria" w:hAnsi="Cambria" w:cs="Times"/>
        </w:rPr>
        <w:t xml:space="preserve">y en </w:t>
      </w:r>
      <w:r w:rsidRPr="002344A1">
        <w:rPr>
          <w:rFonts w:ascii="Cambria" w:hAnsi="Cambria" w:cs="Times"/>
          <w:color w:val="0B4CB4"/>
        </w:rPr>
        <w:t>@gesvalt</w:t>
      </w:r>
    </w:p>
    <w:p w14:paraId="0238AF5B" w14:textId="515E0281" w:rsidR="00A45248" w:rsidRDefault="00FA6CB7" w:rsidP="005A548A">
      <w:pPr>
        <w:spacing w:line="276" w:lineRule="auto"/>
        <w:jc w:val="both"/>
        <w:rPr>
          <w:rFonts w:ascii="Cambria" w:hAnsi="Cambria" w:cs="Baghdad"/>
          <w:bCs/>
        </w:rPr>
      </w:pPr>
      <w:r>
        <w:rPr>
          <w:rFonts w:ascii="Cambria" w:hAnsi="Cambria" w:cs="Baghdad"/>
          <w:b/>
          <w:bCs/>
        </w:rPr>
        <w:t>Madrid</w:t>
      </w:r>
      <w:r w:rsidR="00920080" w:rsidRPr="00FA6CB7">
        <w:rPr>
          <w:rFonts w:ascii="Cambria" w:hAnsi="Cambria" w:cs="Baghdad"/>
          <w:b/>
          <w:bCs/>
        </w:rPr>
        <w:t xml:space="preserve">, </w:t>
      </w:r>
      <w:r w:rsidR="007139DB">
        <w:rPr>
          <w:rFonts w:ascii="Cambria" w:hAnsi="Cambria" w:cs="Baghdad"/>
          <w:b/>
          <w:bCs/>
        </w:rPr>
        <w:t>6</w:t>
      </w:r>
      <w:r w:rsidR="00715722">
        <w:rPr>
          <w:rFonts w:ascii="Cambria" w:hAnsi="Cambria" w:cs="Baghdad"/>
          <w:b/>
          <w:bCs/>
        </w:rPr>
        <w:t xml:space="preserve"> de </w:t>
      </w:r>
      <w:r w:rsidR="000D68BD">
        <w:rPr>
          <w:rFonts w:ascii="Cambria" w:hAnsi="Cambria" w:cs="Baghdad"/>
          <w:b/>
          <w:bCs/>
        </w:rPr>
        <w:t>octubre</w:t>
      </w:r>
      <w:r w:rsidR="00F96600">
        <w:rPr>
          <w:rFonts w:ascii="Cambria" w:hAnsi="Cambria" w:cs="Baghdad"/>
          <w:b/>
          <w:bCs/>
        </w:rPr>
        <w:t xml:space="preserve"> de 2020</w:t>
      </w:r>
      <w:r w:rsidR="00893757" w:rsidRPr="002344A1">
        <w:rPr>
          <w:rFonts w:ascii="Cambria" w:hAnsi="Cambria" w:cs="Baghdad"/>
          <w:b/>
          <w:bCs/>
        </w:rPr>
        <w:t xml:space="preserve"> </w:t>
      </w:r>
      <w:r w:rsidR="00F746D7">
        <w:rPr>
          <w:rFonts w:ascii="Cambria" w:hAnsi="Cambria" w:cs="Baghdad"/>
          <w:b/>
          <w:bCs/>
        </w:rPr>
        <w:t>–</w:t>
      </w:r>
      <w:r w:rsidR="00E735C6" w:rsidRPr="00E735C6">
        <w:rPr>
          <w:rFonts w:ascii="Cambria" w:hAnsi="Cambria" w:cs="Baghdad"/>
          <w:bCs/>
        </w:rPr>
        <w:t xml:space="preserve"> </w:t>
      </w:r>
      <w:r w:rsidR="007B735E">
        <w:rPr>
          <w:rFonts w:ascii="Cambria" w:hAnsi="Cambria" w:cs="Baghdad"/>
          <w:bCs/>
        </w:rPr>
        <w:t xml:space="preserve">Gesvalt, la compañía de referencia en </w:t>
      </w:r>
      <w:r w:rsidR="007B735E" w:rsidRPr="007B735E">
        <w:rPr>
          <w:rFonts w:ascii="Cambria" w:hAnsi="Cambria" w:cs="Baghdad"/>
          <w:bCs/>
        </w:rPr>
        <w:t>el sector de la consultoría, valoración y actuaciones técnicas</w:t>
      </w:r>
      <w:r w:rsidR="007B735E">
        <w:rPr>
          <w:rFonts w:ascii="Cambria" w:hAnsi="Cambria" w:cs="Baghdad"/>
          <w:bCs/>
        </w:rPr>
        <w:t xml:space="preserve">, ha publicado su Informe de Vivienda correspondiente al </w:t>
      </w:r>
      <w:r w:rsidR="000D68BD">
        <w:rPr>
          <w:rFonts w:ascii="Cambria" w:hAnsi="Cambria" w:cs="Baghdad"/>
          <w:bCs/>
        </w:rPr>
        <w:t>tercer</w:t>
      </w:r>
      <w:r w:rsidR="00715722">
        <w:rPr>
          <w:rFonts w:ascii="Cambria" w:hAnsi="Cambria" w:cs="Baghdad"/>
          <w:bCs/>
        </w:rPr>
        <w:t xml:space="preserve"> </w:t>
      </w:r>
      <w:r w:rsidR="007B735E">
        <w:rPr>
          <w:rFonts w:ascii="Cambria" w:hAnsi="Cambria" w:cs="Baghdad"/>
          <w:bCs/>
        </w:rPr>
        <w:t xml:space="preserve">trimestre del año </w:t>
      </w:r>
      <w:r w:rsidR="00F96600">
        <w:rPr>
          <w:rFonts w:ascii="Cambria" w:hAnsi="Cambria" w:cs="Baghdad"/>
          <w:bCs/>
        </w:rPr>
        <w:t>2020</w:t>
      </w:r>
      <w:r w:rsidR="007B735E">
        <w:rPr>
          <w:rFonts w:ascii="Cambria" w:hAnsi="Cambria" w:cs="Baghdad"/>
          <w:bCs/>
        </w:rPr>
        <w:t xml:space="preserve">. En el estudio, realizado </w:t>
      </w:r>
      <w:r w:rsidR="0082419E">
        <w:rPr>
          <w:rFonts w:ascii="Cambria" w:hAnsi="Cambria" w:cs="Baghdad"/>
          <w:bCs/>
        </w:rPr>
        <w:t xml:space="preserve">con datos propios </w:t>
      </w:r>
      <w:r w:rsidR="007B735E">
        <w:rPr>
          <w:rFonts w:ascii="Cambria" w:hAnsi="Cambria" w:cs="Baghdad"/>
          <w:bCs/>
        </w:rPr>
        <w:t>por el departamento de Research de la compañía,</w:t>
      </w:r>
      <w:r w:rsidR="00A56B4A">
        <w:rPr>
          <w:rFonts w:ascii="Cambria" w:hAnsi="Cambria" w:cs="Baghdad"/>
          <w:bCs/>
        </w:rPr>
        <w:t xml:space="preserve"> se</w:t>
      </w:r>
      <w:r w:rsidR="007B735E">
        <w:rPr>
          <w:rFonts w:ascii="Cambria" w:hAnsi="Cambria" w:cs="Baghdad"/>
          <w:bCs/>
        </w:rPr>
        <w:t xml:space="preserve"> destaca </w:t>
      </w:r>
      <w:r w:rsidR="00197AE1">
        <w:rPr>
          <w:rFonts w:ascii="Cambria" w:hAnsi="Cambria" w:cs="Baghdad"/>
          <w:bCs/>
        </w:rPr>
        <w:t xml:space="preserve">un </w:t>
      </w:r>
      <w:r w:rsidR="00A45248">
        <w:rPr>
          <w:rFonts w:ascii="Cambria" w:hAnsi="Cambria" w:cs="Baghdad"/>
          <w:bCs/>
        </w:rPr>
        <w:t>descenso de</w:t>
      </w:r>
      <w:r w:rsidR="00197AE1">
        <w:rPr>
          <w:rFonts w:ascii="Cambria" w:hAnsi="Cambria" w:cs="Baghdad"/>
          <w:bCs/>
        </w:rPr>
        <w:t xml:space="preserve">l precio de la vivienda de un </w:t>
      </w:r>
      <w:r w:rsidR="00A45248">
        <w:rPr>
          <w:rFonts w:ascii="Cambria" w:hAnsi="Cambria" w:cs="Baghdad"/>
          <w:bCs/>
        </w:rPr>
        <w:t>2,</w:t>
      </w:r>
      <w:r w:rsidR="000D68BD">
        <w:rPr>
          <w:rFonts w:ascii="Cambria" w:hAnsi="Cambria" w:cs="Baghdad"/>
          <w:bCs/>
        </w:rPr>
        <w:t>8</w:t>
      </w:r>
      <w:r w:rsidR="00197AE1">
        <w:rPr>
          <w:rFonts w:ascii="Cambria" w:hAnsi="Cambria" w:cs="Baghdad"/>
          <w:bCs/>
        </w:rPr>
        <w:t>% con respecto al mismo periodo del año anterior,</w:t>
      </w:r>
      <w:r w:rsidR="00A45248">
        <w:rPr>
          <w:rFonts w:ascii="Cambria" w:hAnsi="Cambria" w:cs="Baghdad"/>
          <w:bCs/>
        </w:rPr>
        <w:t xml:space="preserve"> </w:t>
      </w:r>
      <w:r w:rsidR="000D68BD">
        <w:rPr>
          <w:rFonts w:ascii="Cambria" w:hAnsi="Cambria" w:cs="Baghdad"/>
          <w:bCs/>
        </w:rPr>
        <w:t>un suceso que ya se observó en el trimestre anterior y que se ha mantenido en este, debido al impacto de la pandemia global. De esta forma, en un contexto marcado por la segunda ola</w:t>
      </w:r>
      <w:r w:rsidR="00A45248">
        <w:rPr>
          <w:rFonts w:ascii="Cambria" w:hAnsi="Cambria" w:cs="Baghdad"/>
          <w:bCs/>
        </w:rPr>
        <w:t xml:space="preserve"> </w:t>
      </w:r>
      <w:r w:rsidR="000D68BD">
        <w:rPr>
          <w:rFonts w:ascii="Cambria" w:hAnsi="Cambria" w:cs="Baghdad"/>
          <w:bCs/>
        </w:rPr>
        <w:t xml:space="preserve">del virus, se consolida la tendencia a la baja del valor del metro cuadrado, que ha invertido la línea ascendente que se había observado en los últimos años.  </w:t>
      </w:r>
    </w:p>
    <w:p w14:paraId="7C904875" w14:textId="41A5C47D" w:rsidR="00B6647C" w:rsidRPr="00C3165A" w:rsidRDefault="00B6647C" w:rsidP="005A548A">
      <w:pPr>
        <w:spacing w:line="276" w:lineRule="auto"/>
        <w:jc w:val="both"/>
        <w:rPr>
          <w:rFonts w:ascii="Cambria" w:hAnsi="Cambria" w:cs="Baghdad"/>
          <w:bCs/>
        </w:rPr>
      </w:pPr>
    </w:p>
    <w:p w14:paraId="29450F86" w14:textId="380D23FE" w:rsidR="00F950FD" w:rsidRPr="00C3165A" w:rsidRDefault="00F950FD" w:rsidP="005A548A">
      <w:pPr>
        <w:spacing w:line="276" w:lineRule="auto"/>
        <w:jc w:val="both"/>
        <w:rPr>
          <w:rFonts w:asciiTheme="majorHAnsi" w:hAnsiTheme="majorHAnsi"/>
        </w:rPr>
      </w:pPr>
      <w:r w:rsidRPr="00C3165A">
        <w:rPr>
          <w:rFonts w:ascii="Cambria" w:hAnsi="Cambria" w:cs="Baghdad"/>
          <w:bCs/>
        </w:rPr>
        <w:t xml:space="preserve">De la misma forma, el estudio de la compañía también refleja un descenso de las operaciones de compraventa, </w:t>
      </w:r>
      <w:r w:rsidR="0056301A" w:rsidRPr="00C3165A">
        <w:rPr>
          <w:rFonts w:ascii="Cambria" w:hAnsi="Cambria" w:cs="Baghdad"/>
          <w:bCs/>
        </w:rPr>
        <w:t>que se ha</w:t>
      </w:r>
      <w:r w:rsidR="000D68BD">
        <w:rPr>
          <w:rFonts w:ascii="Cambria" w:hAnsi="Cambria" w:cs="Baghdad"/>
          <w:bCs/>
        </w:rPr>
        <w:t>n</w:t>
      </w:r>
      <w:r w:rsidR="0056301A" w:rsidRPr="00C3165A">
        <w:rPr>
          <w:rFonts w:ascii="Cambria" w:hAnsi="Cambria" w:cs="Baghdad"/>
          <w:bCs/>
        </w:rPr>
        <w:t xml:space="preserve"> reducido un </w:t>
      </w:r>
      <w:r w:rsidR="000D68BD">
        <w:rPr>
          <w:rFonts w:ascii="Cambria" w:hAnsi="Cambria" w:cs="Baghdad"/>
          <w:bCs/>
        </w:rPr>
        <w:t>25,1</w:t>
      </w:r>
      <w:r w:rsidRPr="00C3165A">
        <w:rPr>
          <w:rFonts w:ascii="Cambria" w:hAnsi="Cambria" w:cs="Baghdad"/>
          <w:bCs/>
        </w:rPr>
        <w:t xml:space="preserve">% </w:t>
      </w:r>
      <w:r w:rsidR="005E737C">
        <w:rPr>
          <w:rFonts w:ascii="Cambria" w:hAnsi="Cambria" w:cs="Baghdad"/>
          <w:bCs/>
        </w:rPr>
        <w:t>durante los siete primeros meses del año</w:t>
      </w:r>
      <w:r w:rsidR="000D68BD">
        <w:rPr>
          <w:rFonts w:ascii="Cambria" w:hAnsi="Cambria" w:cs="Baghdad"/>
          <w:bCs/>
        </w:rPr>
        <w:t xml:space="preserve"> </w:t>
      </w:r>
      <w:r w:rsidR="0056301A" w:rsidRPr="00C3165A">
        <w:rPr>
          <w:rFonts w:ascii="Cambria" w:hAnsi="Cambria" w:cs="Baghdad"/>
          <w:bCs/>
        </w:rPr>
        <w:t>respecto al mismo periodo de 2019</w:t>
      </w:r>
      <w:r w:rsidRPr="00C3165A">
        <w:rPr>
          <w:rFonts w:ascii="Cambria" w:hAnsi="Cambria" w:cs="Baghdad"/>
          <w:bCs/>
        </w:rPr>
        <w:t xml:space="preserve">. </w:t>
      </w:r>
      <w:r w:rsidR="000D68BD">
        <w:rPr>
          <w:rFonts w:ascii="Cambria" w:hAnsi="Cambria" w:cs="Baghdad"/>
          <w:bCs/>
        </w:rPr>
        <w:t>Dentro de este análisis</w:t>
      </w:r>
      <w:r w:rsidR="000D68BD" w:rsidRPr="000D68BD">
        <w:rPr>
          <w:rFonts w:ascii="Cambria" w:hAnsi="Cambria" w:cs="Baghdad"/>
          <w:bCs/>
        </w:rPr>
        <w:t xml:space="preserve">, mayo </w:t>
      </w:r>
      <w:r w:rsidR="000D2536">
        <w:rPr>
          <w:rFonts w:ascii="Cambria" w:hAnsi="Cambria" w:cs="Baghdad"/>
          <w:bCs/>
        </w:rPr>
        <w:t>fue</w:t>
      </w:r>
      <w:r w:rsidR="000D68BD" w:rsidRPr="000D68BD">
        <w:rPr>
          <w:rFonts w:ascii="Cambria" w:hAnsi="Cambria" w:cs="Baghdad"/>
          <w:bCs/>
        </w:rPr>
        <w:t xml:space="preserve"> el mes con peor comportamiento inter</w:t>
      </w:r>
      <w:r w:rsidR="00497DEA">
        <w:rPr>
          <w:rFonts w:ascii="Cambria" w:hAnsi="Cambria" w:cs="Baghdad"/>
          <w:bCs/>
        </w:rPr>
        <w:t>anual</w:t>
      </w:r>
      <w:r w:rsidR="000D68BD" w:rsidRPr="000D68BD">
        <w:rPr>
          <w:rFonts w:ascii="Cambria" w:hAnsi="Cambria" w:cs="Baghdad"/>
          <w:bCs/>
        </w:rPr>
        <w:t xml:space="preserve">, </w:t>
      </w:r>
      <w:r w:rsidR="000D2536">
        <w:rPr>
          <w:rFonts w:ascii="Cambria" w:hAnsi="Cambria" w:cs="Baghdad"/>
          <w:bCs/>
        </w:rPr>
        <w:t>con un descenso del 52,9% en el volumen de compraventas frente</w:t>
      </w:r>
      <w:r w:rsidR="000D68BD" w:rsidRPr="000D68BD">
        <w:rPr>
          <w:rFonts w:ascii="Cambria" w:hAnsi="Cambria" w:cs="Baghdad"/>
          <w:bCs/>
        </w:rPr>
        <w:t xml:space="preserve"> al mismo mes del año pasado. </w:t>
      </w:r>
      <w:r w:rsidR="000D2536">
        <w:rPr>
          <w:rFonts w:ascii="Cambria" w:hAnsi="Cambria" w:cs="Baghdad"/>
          <w:bCs/>
        </w:rPr>
        <w:t>Sin embargo, d</w:t>
      </w:r>
      <w:r w:rsidR="000D68BD" w:rsidRPr="000D68BD">
        <w:rPr>
          <w:rFonts w:ascii="Cambria" w:hAnsi="Cambria" w:cs="Baghdad"/>
          <w:bCs/>
        </w:rPr>
        <w:t>esde ese momento, y aun manteniendo cifras de contracciones que superan el 30%</w:t>
      </w:r>
      <w:r w:rsidR="000D2536">
        <w:rPr>
          <w:rFonts w:ascii="Cambria" w:hAnsi="Cambria" w:cs="Baghdad"/>
          <w:bCs/>
        </w:rPr>
        <w:t xml:space="preserve"> cada mes</w:t>
      </w:r>
      <w:r w:rsidR="000D68BD" w:rsidRPr="000D68BD">
        <w:rPr>
          <w:rFonts w:ascii="Cambria" w:hAnsi="Cambria" w:cs="Baghdad"/>
          <w:bCs/>
        </w:rPr>
        <w:t xml:space="preserve">, </w:t>
      </w:r>
      <w:r w:rsidR="000D2536">
        <w:rPr>
          <w:rFonts w:ascii="Cambria" w:hAnsi="Cambria" w:cs="Baghdad"/>
          <w:bCs/>
        </w:rPr>
        <w:t xml:space="preserve">se ha observado una leve tendencia al alza que se ha incrementado mes a mes hasta julio. </w:t>
      </w:r>
    </w:p>
    <w:p w14:paraId="1B5979BA" w14:textId="5799C0E0" w:rsidR="0056301A" w:rsidRDefault="0056301A" w:rsidP="005A548A">
      <w:pPr>
        <w:spacing w:line="276" w:lineRule="auto"/>
        <w:jc w:val="both"/>
        <w:rPr>
          <w:rFonts w:asciiTheme="majorHAnsi" w:hAnsiTheme="majorHAnsi"/>
          <w:color w:val="000000" w:themeColor="text1"/>
        </w:rPr>
      </w:pPr>
    </w:p>
    <w:p w14:paraId="40892B24" w14:textId="6948CEC8" w:rsidR="00497DEA" w:rsidRDefault="00497DEA" w:rsidP="005A548A">
      <w:pPr>
        <w:spacing w:line="276" w:lineRule="auto"/>
        <w:jc w:val="both"/>
        <w:rPr>
          <w:rFonts w:asciiTheme="majorHAnsi" w:hAnsiTheme="majorHAnsi"/>
          <w:color w:val="000000" w:themeColor="text1"/>
        </w:rPr>
      </w:pPr>
    </w:p>
    <w:p w14:paraId="2931AC2B" w14:textId="71A6BB78" w:rsidR="00497DEA" w:rsidRDefault="00497DEA" w:rsidP="005A548A">
      <w:pPr>
        <w:spacing w:line="276" w:lineRule="auto"/>
        <w:jc w:val="both"/>
        <w:rPr>
          <w:rFonts w:asciiTheme="majorHAnsi" w:hAnsiTheme="majorHAnsi"/>
          <w:color w:val="000000" w:themeColor="text1"/>
        </w:rPr>
      </w:pPr>
    </w:p>
    <w:p w14:paraId="2472E03C" w14:textId="77777777" w:rsidR="00497DEA" w:rsidRDefault="00497DEA" w:rsidP="005A548A">
      <w:pPr>
        <w:spacing w:line="276" w:lineRule="auto"/>
        <w:jc w:val="both"/>
        <w:rPr>
          <w:rFonts w:asciiTheme="majorHAnsi" w:hAnsiTheme="majorHAnsi"/>
          <w:color w:val="000000" w:themeColor="text1"/>
        </w:rPr>
      </w:pPr>
    </w:p>
    <w:p w14:paraId="05DFA270" w14:textId="521C6662" w:rsidR="007A0C6D" w:rsidRPr="00BE75C0" w:rsidRDefault="00BE75C0" w:rsidP="005A548A">
      <w:pPr>
        <w:spacing w:line="276" w:lineRule="auto"/>
        <w:jc w:val="both"/>
        <w:rPr>
          <w:rFonts w:ascii="Cambria" w:hAnsi="Cambria" w:cs="Baghdad"/>
          <w:b/>
          <w:bCs/>
        </w:rPr>
      </w:pPr>
      <w:r w:rsidRPr="00BE75C0">
        <w:rPr>
          <w:rFonts w:ascii="Cambria" w:hAnsi="Cambria" w:cs="Baghdad"/>
          <w:b/>
          <w:bCs/>
        </w:rPr>
        <w:lastRenderedPageBreak/>
        <w:t>Se mantiene el d</w:t>
      </w:r>
      <w:r w:rsidR="0026592C" w:rsidRPr="00BE75C0">
        <w:rPr>
          <w:rFonts w:ascii="Cambria" w:hAnsi="Cambria" w:cs="Baghdad"/>
          <w:b/>
          <w:bCs/>
        </w:rPr>
        <w:t>escenso generalizado del precio de la vivienda</w:t>
      </w:r>
    </w:p>
    <w:p w14:paraId="7C587F54" w14:textId="77777777" w:rsidR="00D423C2" w:rsidRPr="00BE75C0" w:rsidRDefault="00D423C2" w:rsidP="005A548A">
      <w:pPr>
        <w:spacing w:line="276" w:lineRule="auto"/>
        <w:jc w:val="both"/>
        <w:rPr>
          <w:rFonts w:ascii="Cambria" w:hAnsi="Cambria" w:cs="Baghdad"/>
          <w:b/>
          <w:bCs/>
        </w:rPr>
      </w:pPr>
    </w:p>
    <w:p w14:paraId="68CDFDF2" w14:textId="340C5A9E" w:rsidR="0026592C" w:rsidRPr="000D2536" w:rsidRDefault="00BE75C0" w:rsidP="005A548A">
      <w:pPr>
        <w:spacing w:line="276" w:lineRule="auto"/>
        <w:jc w:val="both"/>
        <w:rPr>
          <w:rFonts w:ascii="Cambria" w:hAnsi="Cambria" w:cs="Baghdad"/>
          <w:bCs/>
          <w:color w:val="FF0000"/>
        </w:rPr>
      </w:pPr>
      <w:r w:rsidRPr="00BE75C0">
        <w:rPr>
          <w:rFonts w:ascii="Cambria" w:hAnsi="Cambria" w:cs="Baghdad"/>
          <w:bCs/>
        </w:rPr>
        <w:t>Al igual que en el periodo anterior, t</w:t>
      </w:r>
      <w:r w:rsidR="0026592C" w:rsidRPr="00BE75C0">
        <w:rPr>
          <w:rFonts w:ascii="Cambria" w:hAnsi="Cambria" w:cs="Baghdad"/>
          <w:bCs/>
        </w:rPr>
        <w:t xml:space="preserve">odas las comunidades autónomas han experimentado descensos en los precios la vivienda durante el </w:t>
      </w:r>
      <w:r w:rsidRPr="00BE75C0">
        <w:rPr>
          <w:rFonts w:ascii="Cambria" w:hAnsi="Cambria" w:cs="Baghdad"/>
          <w:bCs/>
        </w:rPr>
        <w:t>tercer</w:t>
      </w:r>
      <w:r w:rsidR="0026592C" w:rsidRPr="00BE75C0">
        <w:rPr>
          <w:rFonts w:ascii="Cambria" w:hAnsi="Cambria" w:cs="Baghdad"/>
          <w:bCs/>
        </w:rPr>
        <w:t xml:space="preserve"> trimestre.  Entre ellas, las comunidades en las que el precio se ha mantenido más estable han sido </w:t>
      </w:r>
      <w:r w:rsidRPr="00BE75C0">
        <w:rPr>
          <w:rFonts w:ascii="Cambria" w:hAnsi="Cambria" w:cs="Baghdad"/>
          <w:bCs/>
        </w:rPr>
        <w:t>Canarias (-0,4%), Murcia (-0,6%) y País Vasco (-0,6%);</w:t>
      </w:r>
      <w:r w:rsidR="0026592C" w:rsidRPr="00BE75C0">
        <w:rPr>
          <w:rFonts w:ascii="Cambria" w:hAnsi="Cambria" w:cs="Baghdad"/>
          <w:bCs/>
        </w:rPr>
        <w:t xml:space="preserve"> mientras que el descenso ha sido más acusado </w:t>
      </w:r>
      <w:r w:rsidR="0056301A" w:rsidRPr="00BE75C0">
        <w:rPr>
          <w:rFonts w:ascii="Cambria" w:hAnsi="Cambria" w:cs="Baghdad"/>
          <w:bCs/>
        </w:rPr>
        <w:t>en</w:t>
      </w:r>
      <w:r w:rsidR="0026592C" w:rsidRPr="00BE75C0">
        <w:rPr>
          <w:rFonts w:ascii="Cambria" w:hAnsi="Cambria" w:cs="Baghdad"/>
          <w:bCs/>
        </w:rPr>
        <w:t xml:space="preserve"> </w:t>
      </w:r>
      <w:r w:rsidRPr="00BE75C0">
        <w:rPr>
          <w:rFonts w:ascii="Cambria" w:hAnsi="Cambria" w:cs="Baghdad"/>
          <w:bCs/>
        </w:rPr>
        <w:t>Comunidad Valenciana</w:t>
      </w:r>
      <w:r w:rsidR="0026592C" w:rsidRPr="00BE75C0">
        <w:rPr>
          <w:rFonts w:ascii="Cambria" w:hAnsi="Cambria" w:cs="Baghdad"/>
          <w:bCs/>
        </w:rPr>
        <w:t xml:space="preserve"> (-</w:t>
      </w:r>
      <w:r w:rsidRPr="00BE75C0">
        <w:rPr>
          <w:rFonts w:ascii="Cambria" w:hAnsi="Cambria" w:cs="Baghdad"/>
          <w:bCs/>
        </w:rPr>
        <w:t>4,2</w:t>
      </w:r>
      <w:r w:rsidR="0026592C" w:rsidRPr="00BE75C0">
        <w:rPr>
          <w:rFonts w:ascii="Cambria" w:hAnsi="Cambria" w:cs="Baghdad"/>
          <w:bCs/>
        </w:rPr>
        <w:t>%), Galicia (-</w:t>
      </w:r>
      <w:r w:rsidRPr="00BE75C0">
        <w:rPr>
          <w:rFonts w:ascii="Cambria" w:hAnsi="Cambria" w:cs="Baghdad"/>
          <w:bCs/>
        </w:rPr>
        <w:t>3,5</w:t>
      </w:r>
      <w:r w:rsidR="0026592C" w:rsidRPr="00BE75C0">
        <w:rPr>
          <w:rFonts w:ascii="Cambria" w:hAnsi="Cambria" w:cs="Baghdad"/>
          <w:bCs/>
        </w:rPr>
        <w:t>%)</w:t>
      </w:r>
      <w:r w:rsidRPr="00BE75C0">
        <w:rPr>
          <w:rFonts w:ascii="Cambria" w:hAnsi="Cambria" w:cs="Baghdad"/>
          <w:bCs/>
        </w:rPr>
        <w:t>,</w:t>
      </w:r>
      <w:r w:rsidR="0026592C" w:rsidRPr="00BE75C0">
        <w:rPr>
          <w:rFonts w:ascii="Cambria" w:hAnsi="Cambria" w:cs="Baghdad"/>
          <w:bCs/>
        </w:rPr>
        <w:t xml:space="preserve"> Cataluña (-3,</w:t>
      </w:r>
      <w:r w:rsidRPr="00BE75C0">
        <w:rPr>
          <w:rFonts w:ascii="Cambria" w:hAnsi="Cambria" w:cs="Baghdad"/>
          <w:bCs/>
        </w:rPr>
        <w:t>2</w:t>
      </w:r>
      <w:r w:rsidR="0026592C" w:rsidRPr="00BE75C0">
        <w:rPr>
          <w:rFonts w:ascii="Cambria" w:hAnsi="Cambria" w:cs="Baghdad"/>
          <w:bCs/>
        </w:rPr>
        <w:t>%)</w:t>
      </w:r>
      <w:r w:rsidRPr="00BE75C0">
        <w:rPr>
          <w:rFonts w:ascii="Cambria" w:hAnsi="Cambria" w:cs="Baghdad"/>
          <w:bCs/>
        </w:rPr>
        <w:t xml:space="preserve"> y Andalucía (-3%)</w:t>
      </w:r>
      <w:r w:rsidR="0026592C" w:rsidRPr="00BE75C0">
        <w:rPr>
          <w:rFonts w:ascii="Cambria" w:hAnsi="Cambria" w:cs="Baghdad"/>
          <w:bCs/>
        </w:rPr>
        <w:t>.</w:t>
      </w:r>
    </w:p>
    <w:p w14:paraId="05D8459E" w14:textId="58FD3FE8" w:rsidR="0026592C" w:rsidRDefault="0026592C" w:rsidP="005A548A">
      <w:pPr>
        <w:spacing w:line="276" w:lineRule="auto"/>
        <w:jc w:val="both"/>
        <w:rPr>
          <w:rFonts w:ascii="Cambria" w:hAnsi="Cambria" w:cs="Baghdad"/>
          <w:bCs/>
          <w:color w:val="FF0000"/>
        </w:rPr>
      </w:pPr>
    </w:p>
    <w:p w14:paraId="06897F53" w14:textId="2CEA8C87" w:rsidR="00BE75C0" w:rsidRDefault="00BE75C0" w:rsidP="005A548A">
      <w:pPr>
        <w:spacing w:line="276" w:lineRule="auto"/>
        <w:jc w:val="both"/>
        <w:rPr>
          <w:rFonts w:ascii="Cambria" w:hAnsi="Cambria" w:cs="Baghdad"/>
          <w:bCs/>
        </w:rPr>
      </w:pPr>
      <w:r w:rsidRPr="00BE75C0">
        <w:rPr>
          <w:rFonts w:ascii="Cambria" w:hAnsi="Cambria" w:cs="Baghdad"/>
          <w:bCs/>
        </w:rPr>
        <w:t>Estos descensos también han generado un cambio en el ranking de precios por comunidad autónoma. Aunque Baleares sigue siendo la región más cara, con un valor por metro cuadrado de 2.293 €/m</w:t>
      </w:r>
      <w:r w:rsidRPr="00BE75C0">
        <w:rPr>
          <w:rFonts w:ascii="Cambria" w:hAnsi="Cambria" w:cs="Baghdad"/>
          <w:bCs/>
          <w:vertAlign w:val="superscript"/>
        </w:rPr>
        <w:t>2</w:t>
      </w:r>
      <w:r w:rsidRPr="00BE75C0">
        <w:rPr>
          <w:rFonts w:ascii="Cambria" w:hAnsi="Cambria" w:cs="Baghdad"/>
          <w:bCs/>
        </w:rPr>
        <w:t>, País Vasco (2.215 €/m</w:t>
      </w:r>
      <w:r w:rsidRPr="00BE75C0">
        <w:rPr>
          <w:rFonts w:ascii="Cambria" w:hAnsi="Cambria" w:cs="Baghdad"/>
          <w:bCs/>
          <w:vertAlign w:val="superscript"/>
        </w:rPr>
        <w:t>2</w:t>
      </w:r>
      <w:r w:rsidRPr="00BE75C0">
        <w:rPr>
          <w:rFonts w:ascii="Cambria" w:hAnsi="Cambria" w:cs="Baghdad"/>
          <w:bCs/>
        </w:rPr>
        <w:t>) ha sobrepasado a la Comunidad de Madrid (2.195 €/m</w:t>
      </w:r>
      <w:r w:rsidRPr="00BE75C0">
        <w:rPr>
          <w:rFonts w:ascii="Cambria" w:hAnsi="Cambria" w:cs="Baghdad"/>
          <w:bCs/>
          <w:vertAlign w:val="superscript"/>
        </w:rPr>
        <w:t>2</w:t>
      </w:r>
      <w:r w:rsidRPr="00BE75C0">
        <w:rPr>
          <w:rFonts w:ascii="Cambria" w:hAnsi="Cambria" w:cs="Baghdad"/>
          <w:bCs/>
        </w:rPr>
        <w:t xml:space="preserve">) en el segundo lugar. </w:t>
      </w:r>
    </w:p>
    <w:p w14:paraId="3D1DDC47" w14:textId="3D986357" w:rsidR="00BE75C0" w:rsidRDefault="00BE75C0" w:rsidP="005A548A">
      <w:pPr>
        <w:spacing w:line="276" w:lineRule="auto"/>
        <w:jc w:val="both"/>
        <w:rPr>
          <w:rFonts w:ascii="Cambria" w:hAnsi="Cambria" w:cs="Baghdad"/>
          <w:bCs/>
        </w:rPr>
      </w:pPr>
    </w:p>
    <w:p w14:paraId="1A27C864" w14:textId="71E4B50F" w:rsidR="00BE75C0" w:rsidRPr="00BE75C0" w:rsidRDefault="00BE75C0" w:rsidP="005A548A">
      <w:pPr>
        <w:spacing w:line="276" w:lineRule="auto"/>
        <w:jc w:val="both"/>
        <w:rPr>
          <w:rFonts w:ascii="Cambria" w:hAnsi="Cambria" w:cs="Baghdad"/>
          <w:bCs/>
        </w:rPr>
      </w:pPr>
      <w:r>
        <w:rPr>
          <w:rFonts w:ascii="Cambria" w:hAnsi="Cambria" w:cs="Baghdad"/>
          <w:bCs/>
        </w:rPr>
        <w:t>En la parte baja de la tabla, por el contrario, la situación se mantiene estable con Extremadura como la comunidad autónoma más barata, con 816 €/m</w:t>
      </w:r>
      <w:r w:rsidRPr="00BE75C0">
        <w:rPr>
          <w:rFonts w:ascii="Cambria" w:hAnsi="Cambria" w:cs="Baghdad"/>
          <w:bCs/>
          <w:vertAlign w:val="superscript"/>
        </w:rPr>
        <w:t>2</w:t>
      </w:r>
      <w:r>
        <w:rPr>
          <w:rFonts w:ascii="Cambria" w:hAnsi="Cambria" w:cs="Baghdad"/>
          <w:bCs/>
        </w:rPr>
        <w:t>, seguida por Castilla La Mancha, con 853 €/m</w:t>
      </w:r>
      <w:r w:rsidRPr="00FE7EA7">
        <w:rPr>
          <w:rFonts w:ascii="Cambria" w:hAnsi="Cambria" w:cs="Baghdad"/>
          <w:bCs/>
          <w:vertAlign w:val="superscript"/>
        </w:rPr>
        <w:t>2</w:t>
      </w:r>
      <w:r>
        <w:rPr>
          <w:rFonts w:ascii="Cambria" w:hAnsi="Cambria" w:cs="Baghdad"/>
          <w:bCs/>
        </w:rPr>
        <w:t>. Estas regiones, además, son las únicas de España que tienen un valor inferior a los 1.000 € / m</w:t>
      </w:r>
      <w:r w:rsidRPr="00BE75C0">
        <w:rPr>
          <w:rFonts w:ascii="Cambria" w:hAnsi="Cambria" w:cs="Baghdad"/>
          <w:bCs/>
          <w:vertAlign w:val="superscript"/>
        </w:rPr>
        <w:t>2</w:t>
      </w:r>
      <w:r>
        <w:rPr>
          <w:rFonts w:ascii="Cambria" w:hAnsi="Cambria" w:cs="Baghdad"/>
          <w:bCs/>
        </w:rPr>
        <w:t xml:space="preserve">. </w:t>
      </w:r>
    </w:p>
    <w:p w14:paraId="636B3DF8" w14:textId="24353806" w:rsidR="00E24547" w:rsidRDefault="00E24547" w:rsidP="005A548A">
      <w:pPr>
        <w:spacing w:line="276" w:lineRule="auto"/>
        <w:jc w:val="both"/>
        <w:rPr>
          <w:rFonts w:ascii="Cambria" w:hAnsi="Cambria" w:cs="Baghdad"/>
          <w:bCs/>
          <w:color w:val="FF0000"/>
        </w:rPr>
      </w:pPr>
    </w:p>
    <w:p w14:paraId="3B6D3247" w14:textId="6D197E1D" w:rsidR="00E24547" w:rsidRDefault="00E24547" w:rsidP="005A548A">
      <w:pPr>
        <w:spacing w:line="276" w:lineRule="auto"/>
        <w:jc w:val="both"/>
        <w:rPr>
          <w:rFonts w:ascii="Cambria" w:hAnsi="Cambria" w:cs="Baghdad"/>
          <w:bCs/>
        </w:rPr>
      </w:pPr>
      <w:r w:rsidRPr="00E24547">
        <w:rPr>
          <w:rFonts w:ascii="Cambria" w:hAnsi="Cambria" w:cs="Baghdad"/>
          <w:bCs/>
        </w:rPr>
        <w:t xml:space="preserve">A nivel provincial, destacan los incrementos de Soria (+3,3%), Albacete (+3,1%), Ávila (+2,7%) y Guipúzcoa (+1,8%). Por el contrario, las provincias que han acusado las variaciones más negativas han sido León, con una bajada del 6,1%; y Palencia, que reduce sus precios en un 5,5%. De esta forma, en este trimestre se mantienen en 18 las provincias con un valor unitario inferior a los 1.000€/m². Por otro lado, las provincias con precios más elevados siguen siendo, Guipúzcoa, las Islas Baleares, Vizcaya y Madrid; manteniendo valores superiores a los 2.000 €/m². </w:t>
      </w:r>
    </w:p>
    <w:p w14:paraId="06081D65" w14:textId="005C4CBD" w:rsidR="00E24547" w:rsidRDefault="00E24547" w:rsidP="005A548A">
      <w:pPr>
        <w:spacing w:line="276" w:lineRule="auto"/>
        <w:jc w:val="both"/>
        <w:rPr>
          <w:rFonts w:ascii="Cambria" w:hAnsi="Cambria" w:cs="Baghdad"/>
          <w:bCs/>
        </w:rPr>
      </w:pPr>
    </w:p>
    <w:p w14:paraId="6FF8A61B" w14:textId="3B64DF92" w:rsidR="00E24547" w:rsidRPr="00E24547" w:rsidRDefault="00E24547" w:rsidP="005A548A">
      <w:pPr>
        <w:spacing w:line="276" w:lineRule="auto"/>
        <w:jc w:val="both"/>
        <w:rPr>
          <w:rFonts w:ascii="Cambria" w:hAnsi="Cambria" w:cs="Baghdad"/>
          <w:bCs/>
        </w:rPr>
      </w:pPr>
      <w:r>
        <w:rPr>
          <w:rFonts w:ascii="Cambria" w:hAnsi="Cambria" w:cs="Baghdad"/>
          <w:bCs/>
        </w:rPr>
        <w:t xml:space="preserve">En lo que respecta a las </w:t>
      </w:r>
      <w:r w:rsidR="005A548A">
        <w:rPr>
          <w:rFonts w:ascii="Cambria" w:hAnsi="Cambria" w:cs="Baghdad"/>
          <w:bCs/>
        </w:rPr>
        <w:t xml:space="preserve">capitales de provincia con los mayores precios de la vivienda, no se han producido grandes cambios. </w:t>
      </w:r>
      <w:r w:rsidR="005A548A" w:rsidRPr="005A548A">
        <w:rPr>
          <w:rFonts w:ascii="Cambria" w:hAnsi="Cambria" w:cs="Baghdad"/>
          <w:bCs/>
        </w:rPr>
        <w:t>San Sebastián registra un ligero incremento respecto al trimestre anterior, con un promedio de 3.826 €/m²</w:t>
      </w:r>
      <w:r w:rsidR="00497DEA">
        <w:rPr>
          <w:rFonts w:ascii="Cambria" w:hAnsi="Cambria" w:cs="Baghdad"/>
          <w:bCs/>
        </w:rPr>
        <w:t>, mientras que</w:t>
      </w:r>
      <w:r w:rsidR="005A548A" w:rsidRPr="005A548A">
        <w:rPr>
          <w:rFonts w:ascii="Cambria" w:hAnsi="Cambria" w:cs="Baghdad"/>
          <w:bCs/>
        </w:rPr>
        <w:t xml:space="preserve"> Barcelona disminuye hasta los 3.230 €/m²</w:t>
      </w:r>
      <w:r w:rsidR="009C60AA">
        <w:rPr>
          <w:rFonts w:ascii="Cambria" w:hAnsi="Cambria" w:cs="Baghdad"/>
          <w:bCs/>
        </w:rPr>
        <w:t>,</w:t>
      </w:r>
      <w:r w:rsidR="00497DEA">
        <w:rPr>
          <w:rFonts w:ascii="Cambria" w:hAnsi="Cambria" w:cs="Baghdad"/>
          <w:bCs/>
        </w:rPr>
        <w:t xml:space="preserve"> l</w:t>
      </w:r>
      <w:r w:rsidR="005A548A" w:rsidRPr="005A548A">
        <w:rPr>
          <w:rFonts w:ascii="Cambria" w:hAnsi="Cambria" w:cs="Baghdad"/>
          <w:bCs/>
        </w:rPr>
        <w:t>os precios en Madrid ascienden ligeramente, llegando a los hasta los 3.058 €/m²</w:t>
      </w:r>
      <w:r w:rsidR="00497DEA">
        <w:rPr>
          <w:rFonts w:ascii="Cambria" w:hAnsi="Cambria" w:cs="Baghdad"/>
          <w:bCs/>
        </w:rPr>
        <w:t xml:space="preserve"> y </w:t>
      </w:r>
      <w:r w:rsidR="009C60AA">
        <w:rPr>
          <w:rFonts w:ascii="Cambria" w:hAnsi="Cambria" w:cs="Baghdad"/>
          <w:bCs/>
        </w:rPr>
        <w:t xml:space="preserve">en </w:t>
      </w:r>
      <w:r w:rsidR="005A548A" w:rsidRPr="005A548A">
        <w:rPr>
          <w:rFonts w:ascii="Cambria" w:hAnsi="Cambria" w:cs="Baghdad"/>
          <w:bCs/>
        </w:rPr>
        <w:t xml:space="preserve">Bilbao se mantienen, con 2.439 €/m². Por último, Palma de Mallorca registra una leve contracción, que sitúa su precio unitario en 2.226 €/m². </w:t>
      </w:r>
      <w:r w:rsidR="005A548A">
        <w:rPr>
          <w:rFonts w:ascii="Cambria" w:hAnsi="Cambria" w:cs="Baghdad"/>
          <w:bCs/>
        </w:rPr>
        <w:t xml:space="preserve">El resto de </w:t>
      </w:r>
      <w:r w:rsidR="005E737C">
        <w:rPr>
          <w:rFonts w:ascii="Cambria" w:hAnsi="Cambria" w:cs="Baghdad"/>
          <w:bCs/>
        </w:rPr>
        <w:t>capitales</w:t>
      </w:r>
      <w:r w:rsidR="005A548A">
        <w:rPr>
          <w:rFonts w:ascii="Cambria" w:hAnsi="Cambria" w:cs="Baghdad"/>
          <w:bCs/>
        </w:rPr>
        <w:t xml:space="preserve"> españolas mantienen precios por debajo de los 2.000 €/m</w:t>
      </w:r>
      <w:r w:rsidR="005A548A" w:rsidRPr="005A548A">
        <w:rPr>
          <w:rFonts w:ascii="Cambria" w:hAnsi="Cambria" w:cs="Baghdad"/>
          <w:bCs/>
          <w:vertAlign w:val="superscript"/>
        </w:rPr>
        <w:t>2</w:t>
      </w:r>
      <w:r w:rsidR="005A548A">
        <w:rPr>
          <w:rFonts w:ascii="Cambria" w:hAnsi="Cambria" w:cs="Baghdad"/>
          <w:bCs/>
        </w:rPr>
        <w:t>.</w:t>
      </w:r>
    </w:p>
    <w:p w14:paraId="28B30B5C" w14:textId="77777777" w:rsidR="00E24547" w:rsidRPr="000D2536" w:rsidRDefault="00E24547" w:rsidP="005A548A">
      <w:pPr>
        <w:spacing w:line="276" w:lineRule="auto"/>
        <w:jc w:val="both"/>
        <w:rPr>
          <w:rFonts w:ascii="Cambria" w:hAnsi="Cambria" w:cs="Baghdad"/>
          <w:bCs/>
          <w:color w:val="FF0000"/>
        </w:rPr>
      </w:pPr>
    </w:p>
    <w:p w14:paraId="35B3B6A6" w14:textId="75E4DC1A" w:rsidR="005A548A" w:rsidRPr="005A548A" w:rsidRDefault="005A548A" w:rsidP="005A548A">
      <w:pPr>
        <w:spacing w:line="276" w:lineRule="auto"/>
        <w:jc w:val="both"/>
        <w:rPr>
          <w:rFonts w:ascii="Cambria" w:hAnsi="Cambria" w:cs="Baghdad"/>
          <w:bCs/>
        </w:rPr>
      </w:pPr>
      <w:r w:rsidRPr="005A548A">
        <w:rPr>
          <w:rFonts w:ascii="Cambria" w:hAnsi="Cambria" w:cs="Baghdad"/>
          <w:bCs/>
        </w:rPr>
        <w:t xml:space="preserve">Asimismo, la situación actual puede suponer un impulso la tendencia de desplazamiento de la demanda hacia las áreas periféricas de las grandes capitales, ya que han surgido nuevas preferencias derivadas de la pandemia. Por un lado, desde el punto de vista sanitario se ha incrementado la búsqueda de viviendas más grandes, de </w:t>
      </w:r>
      <w:r w:rsidRPr="005A548A">
        <w:rPr>
          <w:rFonts w:ascii="Cambria" w:hAnsi="Cambria" w:cs="Baghdad"/>
          <w:bCs/>
        </w:rPr>
        <w:lastRenderedPageBreak/>
        <w:t>más reciente construcción, y con la posibilidad de disponer de terrazas o jardines. Por otro, la posibilidad de teletrabajo ha reducido en número de desplazamientos, por lo que es menos importante la cercanía respecto a los centros de negocio.</w:t>
      </w:r>
    </w:p>
    <w:p w14:paraId="4B520C86" w14:textId="77777777" w:rsidR="005A548A" w:rsidRPr="005A548A" w:rsidRDefault="005A548A" w:rsidP="005A548A">
      <w:pPr>
        <w:spacing w:line="276" w:lineRule="auto"/>
        <w:jc w:val="both"/>
        <w:rPr>
          <w:rFonts w:ascii="Cambria" w:hAnsi="Cambria" w:cs="Baghdad"/>
          <w:bCs/>
        </w:rPr>
      </w:pPr>
    </w:p>
    <w:p w14:paraId="4A72DD8A" w14:textId="54E34DE4" w:rsidR="005A548A" w:rsidRDefault="005A548A" w:rsidP="005A548A">
      <w:pPr>
        <w:spacing w:line="276" w:lineRule="auto"/>
        <w:jc w:val="both"/>
        <w:rPr>
          <w:rFonts w:ascii="Cambria" w:hAnsi="Cambria" w:cs="Baghdad"/>
          <w:bCs/>
        </w:rPr>
      </w:pPr>
      <w:r w:rsidRPr="005A548A">
        <w:rPr>
          <w:rFonts w:ascii="Cambria" w:hAnsi="Cambria" w:cs="Baghdad"/>
          <w:bCs/>
        </w:rPr>
        <w:t>En este sentido, durante el tercer trimestre de 2020, los mayores incrementos intertrimestrales en cuanto al precio de venta en los distritos de Madrid los han presentado Vicálvaro, Fuencarral, Carabanchel y Villaverde. En Barcelona, la caída intertrimestral ha sido prácticamente generalizada, y sólo presentan incrementos los barrios de Hortá-Guinardó, Sant Martí y Grácia.</w:t>
      </w:r>
    </w:p>
    <w:p w14:paraId="2F2FF820" w14:textId="77777777" w:rsidR="005A548A" w:rsidRPr="005A548A" w:rsidRDefault="005A548A" w:rsidP="005A548A">
      <w:pPr>
        <w:spacing w:line="276" w:lineRule="auto"/>
        <w:jc w:val="both"/>
        <w:rPr>
          <w:rFonts w:ascii="Cambria" w:hAnsi="Cambria" w:cs="Baghdad"/>
          <w:bCs/>
        </w:rPr>
      </w:pPr>
    </w:p>
    <w:p w14:paraId="758DF79B" w14:textId="297C966F" w:rsidR="00B462D4" w:rsidRPr="000D2536" w:rsidRDefault="00E24547" w:rsidP="005A548A">
      <w:pPr>
        <w:spacing w:line="276" w:lineRule="auto"/>
        <w:jc w:val="both"/>
        <w:rPr>
          <w:rFonts w:ascii="Cambria" w:hAnsi="Cambria" w:cs="Baghdad"/>
          <w:b/>
          <w:bCs/>
          <w:color w:val="FF0000"/>
        </w:rPr>
      </w:pPr>
      <w:r w:rsidRPr="00E24547">
        <w:rPr>
          <w:rFonts w:ascii="Cambria" w:hAnsi="Cambria" w:cs="Baghdad"/>
          <w:b/>
          <w:bCs/>
        </w:rPr>
        <w:t>Mejor comportamiento del alquiler que de la venta</w:t>
      </w:r>
    </w:p>
    <w:p w14:paraId="7E00F72C" w14:textId="77777777" w:rsidR="00B462D4" w:rsidRPr="000D2536" w:rsidRDefault="00B462D4" w:rsidP="005A548A">
      <w:pPr>
        <w:spacing w:line="276" w:lineRule="auto"/>
        <w:jc w:val="both"/>
        <w:rPr>
          <w:rFonts w:ascii="Cambria" w:hAnsi="Cambria" w:cs="Baghdad"/>
          <w:b/>
          <w:bCs/>
          <w:color w:val="FF0000"/>
        </w:rPr>
      </w:pPr>
    </w:p>
    <w:p w14:paraId="63AF675C" w14:textId="4DA9D8AD" w:rsidR="00E24547" w:rsidRDefault="00E24547" w:rsidP="005A548A">
      <w:pPr>
        <w:spacing w:line="276" w:lineRule="auto"/>
        <w:jc w:val="both"/>
        <w:rPr>
          <w:rFonts w:ascii="Cambria" w:hAnsi="Cambria" w:cs="Baghdad"/>
          <w:bCs/>
        </w:rPr>
      </w:pPr>
      <w:r w:rsidRPr="00E24547">
        <w:rPr>
          <w:rFonts w:ascii="Cambria" w:hAnsi="Cambria" w:cs="Baghdad"/>
          <w:bCs/>
        </w:rPr>
        <w:t xml:space="preserve">En lo que respecta al alquiler, durante este trimestre ha mostrado un mejor comportamiento </w:t>
      </w:r>
      <w:r w:rsidR="007A2443">
        <w:rPr>
          <w:rFonts w:ascii="Cambria" w:hAnsi="Cambria" w:cs="Baghdad"/>
          <w:bCs/>
        </w:rPr>
        <w:t>interanual</w:t>
      </w:r>
      <w:r w:rsidRPr="00E24547">
        <w:rPr>
          <w:rFonts w:ascii="Cambria" w:hAnsi="Cambria" w:cs="Baghdad"/>
          <w:bCs/>
        </w:rPr>
        <w:t xml:space="preserve"> que el precio de venta. Barcelona (16,66 €/m²/mes) vuelve a encabezar el ranking en cuanto a precios de alquiler más elevados, con Madrid en segunda posición (16,03 €/m²/mes), Guipúzcoa (14,56 €/m²/mes) y Baleares (13,59 €/m²/mes). Las provincias con menor tendencia al alquiler y, por tanto, menores rentas, son Jaén, Teruel, Cuenca, Cáceres, Ciudad Real y Zamora; todas con unitarios de renta por debajo de los 5 €/m²/mes.</w:t>
      </w:r>
    </w:p>
    <w:p w14:paraId="0BBC2771" w14:textId="77777777" w:rsidR="005A548A" w:rsidRPr="00E24547" w:rsidRDefault="005A548A" w:rsidP="005A548A">
      <w:pPr>
        <w:spacing w:line="276" w:lineRule="auto"/>
        <w:jc w:val="both"/>
        <w:rPr>
          <w:rFonts w:ascii="Cambria" w:hAnsi="Cambria" w:cs="Baghdad"/>
          <w:bCs/>
        </w:rPr>
      </w:pPr>
    </w:p>
    <w:p w14:paraId="1E94F8AF" w14:textId="000DF168" w:rsidR="00E24547" w:rsidRPr="00E24547" w:rsidRDefault="00E24547" w:rsidP="005A548A">
      <w:pPr>
        <w:spacing w:line="276" w:lineRule="auto"/>
        <w:jc w:val="both"/>
        <w:rPr>
          <w:rFonts w:ascii="Cambria" w:hAnsi="Cambria" w:cs="Baghdad"/>
          <w:bCs/>
        </w:rPr>
      </w:pPr>
      <w:r w:rsidRPr="00E24547">
        <w:rPr>
          <w:rFonts w:ascii="Cambria" w:hAnsi="Cambria" w:cs="Baghdad"/>
          <w:bCs/>
        </w:rPr>
        <w:t>A nivel municipal, las únicas localidades con rentas superiores a los 16 €/m²/mes siguen siendo Barcelona y Madrid; con precios de alquiler de vivienda media de 90 m² en torno a los 1.600€.  En cambio, los municipios de más de 50.000 habitantes con el alquiler de vivienda más bajo son Elda y Linares, con unitarios inferiores a los 4,5 €/m²/mes.</w:t>
      </w:r>
    </w:p>
    <w:p w14:paraId="0552B1EA" w14:textId="77777777" w:rsidR="00C30EBD" w:rsidRPr="000D2536" w:rsidRDefault="00C30EBD" w:rsidP="005A548A">
      <w:pPr>
        <w:spacing w:line="276" w:lineRule="auto"/>
        <w:jc w:val="both"/>
        <w:rPr>
          <w:rFonts w:ascii="Cambria" w:hAnsi="Cambria" w:cs="Baghdad"/>
          <w:bCs/>
          <w:color w:val="FF0000"/>
        </w:rPr>
      </w:pPr>
    </w:p>
    <w:p w14:paraId="45C6FEF1" w14:textId="168D9BF7" w:rsidR="00891E71" w:rsidRPr="00F5662F" w:rsidRDefault="00F5662F" w:rsidP="005A548A">
      <w:pPr>
        <w:spacing w:line="276" w:lineRule="auto"/>
        <w:jc w:val="both"/>
        <w:rPr>
          <w:rFonts w:ascii="Cambria" w:hAnsi="Cambria" w:cs="Baghdad"/>
          <w:b/>
          <w:bCs/>
        </w:rPr>
      </w:pPr>
      <w:r w:rsidRPr="00F5662F">
        <w:rPr>
          <w:rFonts w:ascii="Cambria" w:hAnsi="Cambria" w:cs="Baghdad"/>
          <w:b/>
          <w:bCs/>
        </w:rPr>
        <w:t>Se incrementan los años de salario necesarios para comprar una casa</w:t>
      </w:r>
    </w:p>
    <w:p w14:paraId="7E2F3AFD" w14:textId="77777777" w:rsidR="00891E71" w:rsidRPr="00F5662F" w:rsidRDefault="00891E71" w:rsidP="005A548A">
      <w:pPr>
        <w:spacing w:line="276" w:lineRule="auto"/>
        <w:jc w:val="both"/>
        <w:rPr>
          <w:rFonts w:ascii="Cambria" w:hAnsi="Cambria" w:cs="Baghdad"/>
        </w:rPr>
      </w:pPr>
    </w:p>
    <w:p w14:paraId="70419CA9" w14:textId="42F55B6A" w:rsidR="00D423C2" w:rsidRPr="00F5662F" w:rsidRDefault="00F5662F" w:rsidP="005A548A">
      <w:pPr>
        <w:spacing w:line="276" w:lineRule="auto"/>
        <w:jc w:val="both"/>
        <w:rPr>
          <w:rFonts w:ascii="Cambria" w:hAnsi="Cambria" w:cs="Baghdad"/>
        </w:rPr>
      </w:pPr>
      <w:r w:rsidRPr="00F5662F">
        <w:rPr>
          <w:rFonts w:ascii="Cambria" w:hAnsi="Cambria" w:cs="Baghdad"/>
        </w:rPr>
        <w:t>Al cierre del segundo trimestre de 2020, el esfuerzo teórico necesario para la compra de vivienda por parte de las familias aumentó en 3 décimas respecto al trimestre anterior, situándose en un 30,3%, lo que supone disminuir cinco décimas el dato del mismo trimestre del ejercicio anterior. Aun con ello, la pérdida de poder adquisitivo ha provocado que, en un año y a nivel nacional, se aumente en una décima el número de años de salario que necesitaría dedicar una familia de renta media para poder adquirir una vivienda también de tipo medio, siendo esta cifra de 7,1 años.</w:t>
      </w:r>
    </w:p>
    <w:p w14:paraId="5CFB15A8" w14:textId="7A703C9F" w:rsidR="00F5662F" w:rsidRDefault="00F5662F" w:rsidP="005A548A">
      <w:pPr>
        <w:spacing w:line="276" w:lineRule="auto"/>
        <w:jc w:val="both"/>
        <w:rPr>
          <w:rFonts w:ascii="Cambria" w:hAnsi="Cambria" w:cs="Baghdad"/>
          <w:bCs/>
          <w:color w:val="FF0000"/>
        </w:rPr>
      </w:pPr>
    </w:p>
    <w:p w14:paraId="3FF53D4D" w14:textId="77777777" w:rsidR="007A2443" w:rsidRDefault="007A2443" w:rsidP="005A548A">
      <w:pPr>
        <w:spacing w:line="276" w:lineRule="auto"/>
        <w:jc w:val="both"/>
        <w:rPr>
          <w:rFonts w:ascii="Cambria" w:hAnsi="Cambria" w:cs="Baghdad"/>
          <w:b/>
        </w:rPr>
      </w:pPr>
    </w:p>
    <w:p w14:paraId="58AC2C1D" w14:textId="77777777" w:rsidR="007A2443" w:rsidRDefault="007A2443" w:rsidP="005A548A">
      <w:pPr>
        <w:spacing w:line="276" w:lineRule="auto"/>
        <w:jc w:val="both"/>
        <w:rPr>
          <w:rFonts w:ascii="Cambria" w:hAnsi="Cambria" w:cs="Baghdad"/>
          <w:b/>
        </w:rPr>
      </w:pPr>
    </w:p>
    <w:p w14:paraId="114DBE10" w14:textId="77777777" w:rsidR="007A2443" w:rsidRDefault="007A2443" w:rsidP="005A548A">
      <w:pPr>
        <w:spacing w:line="276" w:lineRule="auto"/>
        <w:jc w:val="both"/>
        <w:rPr>
          <w:rFonts w:ascii="Cambria" w:hAnsi="Cambria" w:cs="Baghdad"/>
          <w:b/>
        </w:rPr>
      </w:pPr>
    </w:p>
    <w:p w14:paraId="3ED2A343" w14:textId="60254826" w:rsidR="00F5662F" w:rsidRPr="00F5662F" w:rsidRDefault="00F5662F" w:rsidP="005A548A">
      <w:pPr>
        <w:spacing w:line="276" w:lineRule="auto"/>
        <w:jc w:val="both"/>
        <w:rPr>
          <w:rFonts w:ascii="Cambria" w:hAnsi="Cambria" w:cs="Baghdad"/>
          <w:b/>
        </w:rPr>
      </w:pPr>
      <w:r w:rsidRPr="00F5662F">
        <w:rPr>
          <w:rFonts w:ascii="Cambria" w:hAnsi="Cambria" w:cs="Baghdad"/>
          <w:b/>
        </w:rPr>
        <w:lastRenderedPageBreak/>
        <w:t>Posible rebote de la demanda</w:t>
      </w:r>
    </w:p>
    <w:p w14:paraId="78F429BE" w14:textId="49F25323" w:rsidR="00F5662F" w:rsidRDefault="00F5662F" w:rsidP="005A548A">
      <w:pPr>
        <w:spacing w:line="276" w:lineRule="auto"/>
        <w:jc w:val="both"/>
        <w:rPr>
          <w:rFonts w:ascii="Cambria" w:hAnsi="Cambria" w:cs="Baghdad"/>
          <w:bCs/>
          <w:color w:val="FF0000"/>
        </w:rPr>
      </w:pPr>
    </w:p>
    <w:p w14:paraId="03450278" w14:textId="1E4FFF8E" w:rsidR="00F5662F" w:rsidRPr="00F5662F" w:rsidRDefault="00F5662F" w:rsidP="005A548A">
      <w:pPr>
        <w:pStyle w:val="Sinespaciado"/>
        <w:spacing w:line="276" w:lineRule="auto"/>
        <w:jc w:val="both"/>
        <w:rPr>
          <w:rFonts w:ascii="Cambria" w:hAnsi="Cambria" w:cs="Baghdad"/>
          <w:sz w:val="24"/>
          <w:szCs w:val="24"/>
          <w:lang w:val="es-ES_tradnl"/>
        </w:rPr>
      </w:pPr>
      <w:r>
        <w:rPr>
          <w:rFonts w:ascii="Cambria" w:hAnsi="Cambria" w:cs="Baghdad"/>
          <w:sz w:val="24"/>
          <w:szCs w:val="24"/>
          <w:lang w:val="es-ES_tradnl"/>
        </w:rPr>
        <w:t>Por otra parte, s</w:t>
      </w:r>
      <w:r w:rsidRPr="00F5662F">
        <w:rPr>
          <w:rFonts w:ascii="Cambria" w:hAnsi="Cambria" w:cs="Baghdad"/>
          <w:sz w:val="24"/>
          <w:szCs w:val="24"/>
          <w:lang w:val="es-ES_tradnl"/>
        </w:rPr>
        <w:t>eptiembre ha sido el segundo mes consecutivo en que el Euribor marque un mínimo histórico. Con un</w:t>
      </w:r>
      <w:r w:rsidR="007A2443">
        <w:rPr>
          <w:rFonts w:ascii="Cambria" w:hAnsi="Cambria" w:cs="Baghdad"/>
          <w:sz w:val="24"/>
          <w:szCs w:val="24"/>
          <w:lang w:val="es-ES_tradnl"/>
        </w:rPr>
        <w:t>a media mensual de</w:t>
      </w:r>
      <w:r w:rsidRPr="00F5662F">
        <w:rPr>
          <w:rFonts w:ascii="Cambria" w:hAnsi="Cambria" w:cs="Baghdad"/>
          <w:sz w:val="24"/>
          <w:szCs w:val="24"/>
          <w:lang w:val="es-ES_tradnl"/>
        </w:rPr>
        <w:t xml:space="preserve"> -0,41</w:t>
      </w:r>
      <w:r w:rsidR="007A2443">
        <w:rPr>
          <w:rFonts w:ascii="Cambria" w:hAnsi="Cambria" w:cs="Baghdad"/>
          <w:sz w:val="24"/>
          <w:szCs w:val="24"/>
          <w:lang w:val="es-ES_tradnl"/>
        </w:rPr>
        <w:t>5</w:t>
      </w:r>
      <w:r w:rsidRPr="00F5662F">
        <w:rPr>
          <w:rFonts w:ascii="Cambria" w:hAnsi="Cambria" w:cs="Baghdad"/>
          <w:sz w:val="24"/>
          <w:szCs w:val="24"/>
          <w:lang w:val="es-ES_tradnl"/>
        </w:rPr>
        <w:t xml:space="preserve">%, el tipo encadena cuatro meses a la baja, y lo sitúa en su nivel más bajo desde su creación hace casi 22 años. </w:t>
      </w:r>
      <w:r>
        <w:rPr>
          <w:rFonts w:ascii="Cambria" w:hAnsi="Cambria" w:cs="Baghdad"/>
          <w:sz w:val="24"/>
          <w:szCs w:val="24"/>
          <w:lang w:val="es-ES_tradnl"/>
        </w:rPr>
        <w:t>La perspectiva es</w:t>
      </w:r>
      <w:r w:rsidRPr="00F5662F">
        <w:rPr>
          <w:rFonts w:ascii="Cambria" w:hAnsi="Cambria" w:cs="Baghdad"/>
          <w:sz w:val="24"/>
          <w:szCs w:val="24"/>
          <w:lang w:val="es-ES_tradnl"/>
        </w:rPr>
        <w:t xml:space="preserve"> que el indicador se mantenga en estos niveles bajos en el medio plazo, debido a que el BCE no va a modificar los tipos en el escenario actual, y estos actúan como barrera para el Euribor. </w:t>
      </w:r>
      <w:r>
        <w:rPr>
          <w:rFonts w:ascii="Cambria" w:hAnsi="Cambria" w:cs="Baghdad"/>
          <w:sz w:val="24"/>
          <w:szCs w:val="24"/>
          <w:lang w:val="es-ES_tradnl"/>
        </w:rPr>
        <w:t xml:space="preserve">Uno de los escenarios manejados es </w:t>
      </w:r>
      <w:r w:rsidRPr="00F5662F">
        <w:rPr>
          <w:rFonts w:ascii="Cambria" w:hAnsi="Cambria" w:cs="Baghdad"/>
          <w:sz w:val="24"/>
          <w:szCs w:val="24"/>
          <w:lang w:val="es-ES_tradnl"/>
        </w:rPr>
        <w:t xml:space="preserve">que esta situación provoque un efecto rebote en la demanda, de manera que contribuya a la reactivación del sector. </w:t>
      </w:r>
    </w:p>
    <w:p w14:paraId="706C3BF4" w14:textId="77777777" w:rsidR="00F5662F" w:rsidRPr="00F5662F" w:rsidRDefault="00F5662F" w:rsidP="005A548A">
      <w:pPr>
        <w:spacing w:line="276" w:lineRule="auto"/>
        <w:jc w:val="both"/>
        <w:rPr>
          <w:rFonts w:ascii="Cambria" w:hAnsi="Cambria" w:cs="Baghdad"/>
          <w:bCs/>
          <w:color w:val="FF0000"/>
          <w:lang w:val="es-ES"/>
        </w:rPr>
      </w:pPr>
    </w:p>
    <w:p w14:paraId="0D803A08" w14:textId="627E08A8" w:rsidR="001B70C7" w:rsidRPr="00F5662F" w:rsidRDefault="00F5662F" w:rsidP="005A548A">
      <w:pPr>
        <w:spacing w:line="276" w:lineRule="auto"/>
        <w:jc w:val="both"/>
        <w:rPr>
          <w:rFonts w:ascii="Cambria" w:hAnsi="Cambria" w:cs="Baghdad"/>
          <w:b/>
          <w:bCs/>
        </w:rPr>
      </w:pPr>
      <w:r w:rsidRPr="00F5662F">
        <w:rPr>
          <w:rFonts w:ascii="Cambria" w:hAnsi="Cambria" w:cs="Baghdad"/>
          <w:b/>
          <w:bCs/>
        </w:rPr>
        <w:t>Se consolida el esfuerzo promotor</w:t>
      </w:r>
    </w:p>
    <w:p w14:paraId="6AD45615" w14:textId="77777777" w:rsidR="007C036F" w:rsidRPr="000D2536" w:rsidRDefault="007C036F" w:rsidP="005A548A">
      <w:pPr>
        <w:spacing w:line="276" w:lineRule="auto"/>
        <w:jc w:val="both"/>
        <w:rPr>
          <w:rFonts w:ascii="Cambria" w:hAnsi="Cambria" w:cs="Baghdad"/>
          <w:b/>
          <w:bCs/>
          <w:color w:val="FF0000"/>
        </w:rPr>
      </w:pPr>
    </w:p>
    <w:p w14:paraId="10A07D6D" w14:textId="77777777" w:rsidR="00F5662F" w:rsidRPr="00F5662F" w:rsidRDefault="00F5662F" w:rsidP="005A548A">
      <w:pPr>
        <w:spacing w:line="276" w:lineRule="auto"/>
        <w:jc w:val="both"/>
        <w:rPr>
          <w:rFonts w:ascii="Cambria" w:hAnsi="Cambria" w:cs="Baghdad"/>
        </w:rPr>
      </w:pPr>
      <w:bookmarkStart w:id="1" w:name="_Hlk510432707"/>
      <w:r w:rsidRPr="00F5662F">
        <w:rPr>
          <w:rFonts w:ascii="Cambria" w:hAnsi="Cambria" w:cs="Baghdad"/>
        </w:rPr>
        <w:t xml:space="preserve">En el acumulado de los siete primeros meses del año queda patente el enorme esfuerzo del sector promotor, aun en la situación actual, para conseguir satisfacer la demanda actual de vivienda. De enero a julio de este año el número de certificaciones se ha mantenido estable (con un leve incremento del 0,5%) frente al mismo periodo de 2019; pese a que los visados de dirección de obra se redujeron un 32,1%. Las comunidades en las que más certificaciones se han aprobado siguen siendo la Comunidad de Madrid, Andalucía y Cataluña; si bien en cuanto a visados, la Comunidad Valenciana sustituye a Cataluña como tercera posición. </w:t>
      </w:r>
    </w:p>
    <w:p w14:paraId="3FB849C0" w14:textId="77777777" w:rsidR="00B6647C" w:rsidRPr="00F5662F" w:rsidRDefault="00B6647C" w:rsidP="00B6647C">
      <w:pPr>
        <w:autoSpaceDE w:val="0"/>
        <w:autoSpaceDN w:val="0"/>
        <w:adjustRightInd w:val="0"/>
        <w:spacing w:line="276" w:lineRule="auto"/>
        <w:jc w:val="both"/>
        <w:rPr>
          <w:rFonts w:ascii="Cambria" w:hAnsi="Cambria" w:cs="Baghdad"/>
        </w:rPr>
      </w:pPr>
    </w:p>
    <w:p w14:paraId="4BC26243" w14:textId="77777777" w:rsidR="00874910" w:rsidRDefault="000B0265" w:rsidP="000B0265">
      <w:pPr>
        <w:widowControl w:val="0"/>
        <w:autoSpaceDE w:val="0"/>
        <w:autoSpaceDN w:val="0"/>
        <w:adjustRightInd w:val="0"/>
        <w:spacing w:after="240" w:line="300" w:lineRule="atLeast"/>
        <w:jc w:val="both"/>
        <w:rPr>
          <w:rFonts w:ascii="Cambria" w:hAnsi="Cambria" w:cs="Baghdad"/>
          <w:b/>
          <w:bCs/>
          <w:sz w:val="22"/>
          <w:szCs w:val="22"/>
        </w:rPr>
      </w:pPr>
      <w:r>
        <w:rPr>
          <w:rFonts w:ascii="Cambria" w:hAnsi="Cambria" w:cs="Baghdad"/>
          <w:b/>
          <w:bCs/>
          <w:sz w:val="22"/>
          <w:szCs w:val="22"/>
        </w:rPr>
        <w:t>Acerca de Gesvalt</w:t>
      </w:r>
    </w:p>
    <w:p w14:paraId="2F5BE464" w14:textId="2493A771" w:rsidR="000B0265" w:rsidRDefault="000B0265" w:rsidP="000B0265">
      <w:pPr>
        <w:widowControl w:val="0"/>
        <w:autoSpaceDE w:val="0"/>
        <w:autoSpaceDN w:val="0"/>
        <w:adjustRightInd w:val="0"/>
        <w:spacing w:after="240" w:line="300" w:lineRule="atLeast"/>
        <w:jc w:val="both"/>
        <w:rPr>
          <w:rFonts w:ascii="Cambria" w:hAnsi="Cambria" w:cs="Baghdad"/>
          <w:sz w:val="22"/>
          <w:szCs w:val="22"/>
        </w:rPr>
      </w:pPr>
      <w:r>
        <w:rPr>
          <w:rFonts w:ascii="Cambria" w:hAnsi="Cambria" w:cs="Baghdad"/>
          <w:color w:val="0000FF"/>
          <w:sz w:val="22"/>
          <w:szCs w:val="22"/>
        </w:rPr>
        <w:t xml:space="preserve">Gesvalt </w:t>
      </w:r>
      <w:r>
        <w:rPr>
          <w:rFonts w:ascii="Cambria" w:hAnsi="Cambria" w:cs="Baghdad"/>
          <w:sz w:val="22"/>
          <w:szCs w:val="22"/>
        </w:rPr>
        <w:t xml:space="preserve">es una compañía de referencia en el sector de la consultoría, valoración y actuaciones técnicas. Su experiencia de más de 20 años, un equipo de profesionales altamente cualificados y el firme compromiso por ofrecer un servicio de máxima calidad, son las claves para convertirse en socios estratégicos de las principales compañías privadas y entidades públicas. </w:t>
      </w:r>
    </w:p>
    <w:p w14:paraId="73559975" w14:textId="237FC51E" w:rsidR="000B0265" w:rsidRDefault="000B0265" w:rsidP="000B0265">
      <w:pPr>
        <w:widowControl w:val="0"/>
        <w:autoSpaceDE w:val="0"/>
        <w:autoSpaceDN w:val="0"/>
        <w:adjustRightInd w:val="0"/>
        <w:spacing w:after="240" w:line="276" w:lineRule="auto"/>
        <w:jc w:val="both"/>
        <w:rPr>
          <w:rFonts w:ascii="Cambria" w:hAnsi="Cambria" w:cs="Baghdad"/>
          <w:sz w:val="22"/>
          <w:szCs w:val="22"/>
        </w:rPr>
      </w:pPr>
      <w:r>
        <w:rPr>
          <w:rFonts w:ascii="Cambria" w:hAnsi="Cambria" w:cs="Baghdad"/>
          <w:sz w:val="22"/>
          <w:szCs w:val="22"/>
        </w:rPr>
        <w:t xml:space="preserve">Cuenta con gran implantación de oficinas en España, Portugal y Colombia. La firma forma parte también de la red internacional VRG que le permite operar en los principales países del mundo. </w:t>
      </w:r>
    </w:p>
    <w:p w14:paraId="1F6535DB" w14:textId="77777777" w:rsidR="007A2443" w:rsidRDefault="007A2443" w:rsidP="000B0265">
      <w:pPr>
        <w:widowControl w:val="0"/>
        <w:autoSpaceDE w:val="0"/>
        <w:autoSpaceDN w:val="0"/>
        <w:adjustRightInd w:val="0"/>
        <w:spacing w:after="240" w:line="300" w:lineRule="atLeast"/>
        <w:jc w:val="both"/>
        <w:rPr>
          <w:rFonts w:ascii="Cambria" w:hAnsi="Cambria" w:cs="Baghdad"/>
          <w:sz w:val="22"/>
          <w:szCs w:val="22"/>
        </w:rPr>
      </w:pPr>
    </w:p>
    <w:p w14:paraId="29AD2DC0" w14:textId="77777777" w:rsidR="007A2443" w:rsidRDefault="007A2443" w:rsidP="000B0265">
      <w:pPr>
        <w:widowControl w:val="0"/>
        <w:autoSpaceDE w:val="0"/>
        <w:autoSpaceDN w:val="0"/>
        <w:adjustRightInd w:val="0"/>
        <w:spacing w:after="240" w:line="300" w:lineRule="atLeast"/>
        <w:jc w:val="both"/>
        <w:rPr>
          <w:rFonts w:ascii="Cambria" w:hAnsi="Cambria" w:cs="Baghdad"/>
          <w:sz w:val="22"/>
          <w:szCs w:val="22"/>
        </w:rPr>
      </w:pPr>
    </w:p>
    <w:p w14:paraId="47EEC580" w14:textId="77777777" w:rsidR="007A2443" w:rsidRDefault="007A2443" w:rsidP="000B0265">
      <w:pPr>
        <w:widowControl w:val="0"/>
        <w:autoSpaceDE w:val="0"/>
        <w:autoSpaceDN w:val="0"/>
        <w:adjustRightInd w:val="0"/>
        <w:spacing w:after="240" w:line="300" w:lineRule="atLeast"/>
        <w:jc w:val="both"/>
        <w:rPr>
          <w:rFonts w:ascii="Cambria" w:hAnsi="Cambria" w:cs="Baghdad"/>
          <w:sz w:val="22"/>
          <w:szCs w:val="22"/>
        </w:rPr>
      </w:pPr>
    </w:p>
    <w:p w14:paraId="73B3F1D4" w14:textId="77777777" w:rsidR="007A2443" w:rsidRDefault="007A2443" w:rsidP="000B0265">
      <w:pPr>
        <w:widowControl w:val="0"/>
        <w:autoSpaceDE w:val="0"/>
        <w:autoSpaceDN w:val="0"/>
        <w:adjustRightInd w:val="0"/>
        <w:spacing w:after="240" w:line="300" w:lineRule="atLeast"/>
        <w:jc w:val="both"/>
        <w:rPr>
          <w:rFonts w:ascii="Cambria" w:hAnsi="Cambria" w:cs="Baghdad"/>
          <w:sz w:val="22"/>
          <w:szCs w:val="22"/>
        </w:rPr>
      </w:pPr>
    </w:p>
    <w:p w14:paraId="1BA46FF2" w14:textId="77777777" w:rsidR="007A2443" w:rsidRDefault="007A2443" w:rsidP="000B0265">
      <w:pPr>
        <w:widowControl w:val="0"/>
        <w:autoSpaceDE w:val="0"/>
        <w:autoSpaceDN w:val="0"/>
        <w:adjustRightInd w:val="0"/>
        <w:spacing w:after="240" w:line="300" w:lineRule="atLeast"/>
        <w:jc w:val="both"/>
        <w:rPr>
          <w:rFonts w:ascii="Cambria" w:hAnsi="Cambria" w:cs="Baghdad"/>
          <w:sz w:val="22"/>
          <w:szCs w:val="22"/>
        </w:rPr>
      </w:pPr>
    </w:p>
    <w:p w14:paraId="35ED0FEC" w14:textId="5951367E" w:rsidR="000B0265" w:rsidRDefault="000B0265" w:rsidP="000B0265">
      <w:pPr>
        <w:widowControl w:val="0"/>
        <w:autoSpaceDE w:val="0"/>
        <w:autoSpaceDN w:val="0"/>
        <w:adjustRightInd w:val="0"/>
        <w:spacing w:after="240" w:line="300" w:lineRule="atLeast"/>
        <w:jc w:val="both"/>
        <w:rPr>
          <w:rFonts w:ascii="Cambria" w:hAnsi="Cambria" w:cs="Baghdad"/>
          <w:sz w:val="22"/>
          <w:szCs w:val="22"/>
        </w:rPr>
      </w:pPr>
      <w:r>
        <w:rPr>
          <w:rFonts w:ascii="Cambria" w:hAnsi="Cambria" w:cs="Baghdad"/>
          <w:sz w:val="22"/>
          <w:szCs w:val="22"/>
        </w:rPr>
        <w:lastRenderedPageBreak/>
        <w:t xml:space="preserve">Puedes seguirnos en: </w:t>
      </w:r>
    </w:p>
    <w:p w14:paraId="6288924B" w14:textId="1F3937D4" w:rsidR="000B0265" w:rsidRDefault="000B0265" w:rsidP="000B0265">
      <w:pPr>
        <w:widowControl w:val="0"/>
        <w:autoSpaceDE w:val="0"/>
        <w:autoSpaceDN w:val="0"/>
        <w:adjustRightInd w:val="0"/>
        <w:spacing w:line="280" w:lineRule="atLeast"/>
        <w:rPr>
          <w:rFonts w:ascii="Cambria" w:hAnsi="Cambria" w:cs="Times"/>
          <w:sz w:val="22"/>
          <w:szCs w:val="22"/>
        </w:rPr>
      </w:pPr>
      <w:r>
        <w:rPr>
          <w:rFonts w:ascii="Cambria" w:hAnsi="Cambria" w:cs="Times"/>
          <w:noProof/>
          <w:sz w:val="22"/>
          <w:szCs w:val="22"/>
          <w:lang w:val="es-ES" w:eastAsia="es-ES"/>
        </w:rPr>
        <w:drawing>
          <wp:inline distT="0" distB="0" distL="0" distR="0" wp14:anchorId="7772890C" wp14:editId="67180308">
            <wp:extent cx="533400" cy="533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Cambria" w:hAnsi="Cambria" w:cs="Times"/>
          <w:sz w:val="22"/>
          <w:szCs w:val="22"/>
        </w:rPr>
        <w:t xml:space="preserve"> </w:t>
      </w:r>
      <w:r>
        <w:rPr>
          <w:rFonts w:ascii="Cambria" w:hAnsi="Cambria" w:cs="Times"/>
          <w:noProof/>
          <w:sz w:val="22"/>
          <w:szCs w:val="22"/>
          <w:lang w:val="es-ES" w:eastAsia="es-ES"/>
        </w:rPr>
        <w:drawing>
          <wp:inline distT="0" distB="0" distL="0" distR="0" wp14:anchorId="00008787" wp14:editId="17746F91">
            <wp:extent cx="466725" cy="485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85775"/>
                    </a:xfrm>
                    <a:prstGeom prst="rect">
                      <a:avLst/>
                    </a:prstGeom>
                    <a:noFill/>
                    <a:ln>
                      <a:noFill/>
                    </a:ln>
                  </pic:spPr>
                </pic:pic>
              </a:graphicData>
            </a:graphic>
          </wp:inline>
        </w:drawing>
      </w:r>
    </w:p>
    <w:p w14:paraId="2C6144FA" w14:textId="77777777" w:rsidR="000B0265" w:rsidRDefault="000B0265" w:rsidP="000B0265">
      <w:pPr>
        <w:widowControl w:val="0"/>
        <w:autoSpaceDE w:val="0"/>
        <w:autoSpaceDN w:val="0"/>
        <w:adjustRightInd w:val="0"/>
        <w:spacing w:line="280" w:lineRule="atLeast"/>
        <w:rPr>
          <w:rFonts w:ascii="Cambria" w:hAnsi="Cambria" w:cs="Times"/>
          <w:sz w:val="22"/>
          <w:szCs w:val="22"/>
        </w:rPr>
      </w:pPr>
    </w:p>
    <w:p w14:paraId="2A9FFCB8" w14:textId="77777777" w:rsidR="000B0265" w:rsidRDefault="000B0265" w:rsidP="000B0265">
      <w:pPr>
        <w:widowControl w:val="0"/>
        <w:autoSpaceDE w:val="0"/>
        <w:autoSpaceDN w:val="0"/>
        <w:adjustRightInd w:val="0"/>
        <w:spacing w:line="280" w:lineRule="atLeast"/>
        <w:rPr>
          <w:rFonts w:ascii="Cambria" w:hAnsi="Cambria" w:cs="Times"/>
          <w:sz w:val="22"/>
          <w:szCs w:val="22"/>
        </w:rPr>
      </w:pPr>
    </w:p>
    <w:p w14:paraId="56AEE6C6" w14:textId="77777777" w:rsidR="000B0265" w:rsidRDefault="000B0265" w:rsidP="000B0265">
      <w:pPr>
        <w:widowControl w:val="0"/>
        <w:autoSpaceDE w:val="0"/>
        <w:autoSpaceDN w:val="0"/>
        <w:adjustRightInd w:val="0"/>
        <w:spacing w:after="240" w:line="300" w:lineRule="atLeast"/>
        <w:rPr>
          <w:rFonts w:ascii="Cambria" w:hAnsi="Cambria" w:cs="Times"/>
          <w:sz w:val="22"/>
          <w:szCs w:val="22"/>
        </w:rPr>
      </w:pPr>
      <w:r>
        <w:rPr>
          <w:rFonts w:ascii="Cambria" w:hAnsi="Cambria" w:cs="Times"/>
          <w:b/>
          <w:bCs/>
          <w:sz w:val="22"/>
          <w:szCs w:val="22"/>
        </w:rPr>
        <w:t xml:space="preserve">Para más información: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B0265" w14:paraId="694E9290" w14:textId="77777777" w:rsidTr="000B0265">
        <w:tc>
          <w:tcPr>
            <w:tcW w:w="4414" w:type="dxa"/>
            <w:hideMark/>
          </w:tcPr>
          <w:p w14:paraId="0ED82229" w14:textId="77777777" w:rsidR="000B0265" w:rsidRDefault="000B0265">
            <w:pPr>
              <w:rPr>
                <w:rFonts w:ascii="Cambria" w:hAnsi="Cambria"/>
                <w:sz w:val="22"/>
                <w:szCs w:val="22"/>
              </w:rPr>
            </w:pPr>
            <w:r>
              <w:rPr>
                <w:rFonts w:ascii="Cambria" w:hAnsi="Cambria"/>
                <w:sz w:val="22"/>
                <w:szCs w:val="22"/>
              </w:rPr>
              <w:t xml:space="preserve">Ana de la Fuente </w:t>
            </w:r>
          </w:p>
          <w:p w14:paraId="14A32569" w14:textId="77777777" w:rsidR="000B0265" w:rsidRDefault="000B0265">
            <w:pPr>
              <w:rPr>
                <w:rFonts w:ascii="Cambria" w:hAnsi="Cambria"/>
                <w:sz w:val="22"/>
                <w:szCs w:val="22"/>
              </w:rPr>
            </w:pPr>
            <w:r>
              <w:rPr>
                <w:rFonts w:ascii="Cambria" w:hAnsi="Cambria"/>
                <w:sz w:val="22"/>
                <w:szCs w:val="22"/>
              </w:rPr>
              <w:t xml:space="preserve">Paseo de la Castellana, 141 </w:t>
            </w:r>
          </w:p>
          <w:p w14:paraId="51DEEE8E" w14:textId="77777777" w:rsidR="000B0265" w:rsidRDefault="000B0265">
            <w:pPr>
              <w:rPr>
                <w:rFonts w:ascii="Cambria" w:hAnsi="Cambria"/>
                <w:color w:val="0B4CB4"/>
                <w:sz w:val="22"/>
                <w:szCs w:val="22"/>
              </w:rPr>
            </w:pPr>
            <w:r>
              <w:rPr>
                <w:rFonts w:ascii="Cambria" w:hAnsi="Cambria"/>
                <w:sz w:val="22"/>
                <w:szCs w:val="22"/>
              </w:rPr>
              <w:t xml:space="preserve">28046 – Madrid </w:t>
            </w:r>
            <w:hyperlink r:id="rId11" w:history="1">
              <w:r>
                <w:rPr>
                  <w:rStyle w:val="Hipervnculo"/>
                  <w:rFonts w:ascii="Cambria" w:hAnsi="Cambria" w:cs="Times"/>
                  <w:sz w:val="22"/>
                  <w:szCs w:val="22"/>
                </w:rPr>
                <w:t>afuente@gesvalt.es</w:t>
              </w:r>
            </w:hyperlink>
            <w:r>
              <w:rPr>
                <w:rFonts w:ascii="Cambria" w:hAnsi="Cambria"/>
                <w:color w:val="0B4CB4"/>
                <w:sz w:val="22"/>
                <w:szCs w:val="22"/>
              </w:rPr>
              <w:t xml:space="preserve"> </w:t>
            </w:r>
          </w:p>
          <w:p w14:paraId="7072AD60" w14:textId="77777777" w:rsidR="000B0265" w:rsidRDefault="000B0265">
            <w:pPr>
              <w:rPr>
                <w:rFonts w:ascii="Cambria" w:hAnsi="Cambria"/>
                <w:sz w:val="22"/>
                <w:szCs w:val="22"/>
              </w:rPr>
            </w:pPr>
            <w:r>
              <w:rPr>
                <w:rFonts w:ascii="Cambria" w:hAnsi="Cambria"/>
                <w:sz w:val="22"/>
                <w:szCs w:val="22"/>
              </w:rPr>
              <w:t xml:space="preserve">91 457 60 57 </w:t>
            </w:r>
          </w:p>
        </w:tc>
        <w:tc>
          <w:tcPr>
            <w:tcW w:w="4414" w:type="dxa"/>
            <w:hideMark/>
          </w:tcPr>
          <w:p w14:paraId="7A723C60" w14:textId="59729EB5" w:rsidR="000B0265" w:rsidRDefault="003F19BC">
            <w:pPr>
              <w:rPr>
                <w:rFonts w:ascii="Cambria" w:hAnsi="Cambria"/>
                <w:sz w:val="22"/>
                <w:szCs w:val="22"/>
              </w:rPr>
            </w:pPr>
            <w:r>
              <w:rPr>
                <w:rFonts w:ascii="Cambria" w:hAnsi="Cambria"/>
                <w:sz w:val="22"/>
                <w:szCs w:val="22"/>
              </w:rPr>
              <w:t xml:space="preserve">Eva Tuñas </w:t>
            </w:r>
          </w:p>
          <w:p w14:paraId="0B831C80" w14:textId="392D8EF4" w:rsidR="000B0265" w:rsidRDefault="003F19BC">
            <w:pPr>
              <w:rPr>
                <w:rFonts w:ascii="Cambria" w:hAnsi="Cambria"/>
                <w:sz w:val="22"/>
                <w:szCs w:val="22"/>
              </w:rPr>
            </w:pPr>
            <w:r>
              <w:rPr>
                <w:rFonts w:ascii="Cambria" w:hAnsi="Cambria"/>
                <w:color w:val="0B4CB4"/>
                <w:sz w:val="22"/>
                <w:szCs w:val="22"/>
              </w:rPr>
              <w:t>etunas@kreab.com</w:t>
            </w:r>
          </w:p>
          <w:p w14:paraId="3FE90416" w14:textId="11254B97" w:rsidR="000B0265" w:rsidRDefault="003F19BC" w:rsidP="003F19BC">
            <w:pPr>
              <w:rPr>
                <w:rFonts w:ascii="Cambria" w:hAnsi="Cambria"/>
                <w:sz w:val="22"/>
                <w:szCs w:val="22"/>
              </w:rPr>
            </w:pPr>
            <w:r>
              <w:rPr>
                <w:rFonts w:ascii="Cambria" w:hAnsi="Cambria"/>
                <w:sz w:val="22"/>
                <w:szCs w:val="22"/>
              </w:rPr>
              <w:t>917 027 170</w:t>
            </w:r>
            <w:r w:rsidR="00413BE4">
              <w:rPr>
                <w:rFonts w:ascii="Cambria" w:hAnsi="Cambria"/>
                <w:sz w:val="22"/>
                <w:szCs w:val="22"/>
              </w:rPr>
              <w:t xml:space="preserve">/ +34 </w:t>
            </w:r>
            <w:r w:rsidR="00413BE4" w:rsidRPr="00413BE4">
              <w:rPr>
                <w:rFonts w:ascii="Cambria" w:hAnsi="Cambria"/>
                <w:sz w:val="22"/>
                <w:szCs w:val="22"/>
              </w:rPr>
              <w:t>635186419</w:t>
            </w:r>
          </w:p>
        </w:tc>
      </w:tr>
      <w:tr w:rsidR="000B0265" w:rsidRPr="009C60AA" w14:paraId="491F7145" w14:textId="77777777" w:rsidTr="000B0265">
        <w:tc>
          <w:tcPr>
            <w:tcW w:w="4414" w:type="dxa"/>
          </w:tcPr>
          <w:p w14:paraId="06597E99" w14:textId="77777777" w:rsidR="000B0265" w:rsidRDefault="000B0265">
            <w:pPr>
              <w:rPr>
                <w:rFonts w:ascii="Cambria" w:hAnsi="Cambria"/>
                <w:sz w:val="22"/>
                <w:szCs w:val="22"/>
              </w:rPr>
            </w:pPr>
          </w:p>
        </w:tc>
        <w:tc>
          <w:tcPr>
            <w:tcW w:w="4414" w:type="dxa"/>
            <w:hideMark/>
          </w:tcPr>
          <w:p w14:paraId="560DC716" w14:textId="728A953F" w:rsidR="00FA6CB7" w:rsidRPr="00180884" w:rsidRDefault="003F19BC" w:rsidP="00FA6CB7">
            <w:pPr>
              <w:rPr>
                <w:rFonts w:ascii="Cambria" w:hAnsi="Cambria"/>
                <w:sz w:val="22"/>
                <w:szCs w:val="22"/>
                <w:lang w:val="it-IT"/>
              </w:rPr>
            </w:pPr>
            <w:r>
              <w:rPr>
                <w:rFonts w:ascii="Cambria" w:hAnsi="Cambria"/>
                <w:sz w:val="22"/>
                <w:szCs w:val="22"/>
                <w:lang w:val="it-IT"/>
              </w:rPr>
              <w:t xml:space="preserve">Daniel Santiago </w:t>
            </w:r>
          </w:p>
          <w:p w14:paraId="699B7C85" w14:textId="2D3297B1" w:rsidR="00FA6CB7" w:rsidRPr="00180884" w:rsidRDefault="003F19BC" w:rsidP="00FA6CB7">
            <w:pPr>
              <w:rPr>
                <w:rFonts w:ascii="Cambria" w:hAnsi="Cambria"/>
                <w:sz w:val="22"/>
                <w:szCs w:val="22"/>
                <w:lang w:val="it-IT"/>
              </w:rPr>
            </w:pPr>
            <w:r>
              <w:rPr>
                <w:rFonts w:ascii="Cambria" w:hAnsi="Cambria"/>
                <w:color w:val="0B4CB4"/>
                <w:sz w:val="22"/>
                <w:szCs w:val="22"/>
                <w:lang w:val="it-IT"/>
              </w:rPr>
              <w:t>dsantiago@kreab.com</w:t>
            </w:r>
          </w:p>
          <w:p w14:paraId="5392FDCD" w14:textId="6829676E" w:rsidR="000B0265" w:rsidRPr="003F19BC" w:rsidRDefault="003F19BC" w:rsidP="003F19BC">
            <w:pPr>
              <w:rPr>
                <w:rFonts w:ascii="Cambria" w:hAnsi="Cambria"/>
                <w:sz w:val="22"/>
                <w:szCs w:val="22"/>
                <w:lang w:val="en-US"/>
              </w:rPr>
            </w:pPr>
            <w:r w:rsidRPr="003F19BC">
              <w:rPr>
                <w:rFonts w:ascii="Cambria" w:hAnsi="Cambria"/>
                <w:sz w:val="22"/>
                <w:szCs w:val="22"/>
                <w:lang w:val="en-US"/>
              </w:rPr>
              <w:t>917 027 170</w:t>
            </w:r>
          </w:p>
        </w:tc>
      </w:tr>
      <w:bookmarkEnd w:id="1"/>
    </w:tbl>
    <w:p w14:paraId="54670864" w14:textId="510BE0D1" w:rsidR="00920080" w:rsidRPr="003F19BC" w:rsidRDefault="00920080" w:rsidP="00A0642D">
      <w:pPr>
        <w:widowControl w:val="0"/>
        <w:autoSpaceDE w:val="0"/>
        <w:autoSpaceDN w:val="0"/>
        <w:adjustRightInd w:val="0"/>
        <w:spacing w:after="240" w:line="300" w:lineRule="atLeast"/>
        <w:jc w:val="both"/>
        <w:rPr>
          <w:rFonts w:ascii="Cambria" w:hAnsi="Cambria"/>
          <w:lang w:val="en-US"/>
        </w:rPr>
      </w:pPr>
    </w:p>
    <w:sectPr w:rsidR="00920080" w:rsidRPr="003F19BC" w:rsidSect="00920080">
      <w:headerReference w:type="default" r:id="rId1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DDD94" w14:textId="77777777" w:rsidR="00115867" w:rsidRDefault="00115867" w:rsidP="00AD6E95">
      <w:r>
        <w:separator/>
      </w:r>
    </w:p>
  </w:endnote>
  <w:endnote w:type="continuationSeparator" w:id="0">
    <w:p w14:paraId="19FBBFD9" w14:textId="77777777" w:rsidR="00115867" w:rsidRDefault="00115867" w:rsidP="00AD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Baghdad">
    <w:altName w:val="Arial"/>
    <w:charset w:val="B2"/>
    <w:family w:val="auto"/>
    <w:pitch w:val="variable"/>
    <w:sig w:usb0="80002003"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2455F" w14:textId="77777777" w:rsidR="00115867" w:rsidRDefault="00115867" w:rsidP="00AD6E95">
      <w:r>
        <w:separator/>
      </w:r>
    </w:p>
  </w:footnote>
  <w:footnote w:type="continuationSeparator" w:id="0">
    <w:p w14:paraId="04EE5403" w14:textId="77777777" w:rsidR="00115867" w:rsidRDefault="00115867" w:rsidP="00AD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8045" w14:textId="77777777" w:rsidR="004909DE" w:rsidRDefault="004909DE" w:rsidP="00AB7942">
    <w:pPr>
      <w:pStyle w:val="Encabezado"/>
    </w:pPr>
    <w:r>
      <w:rPr>
        <w:rFonts w:ascii="Times" w:hAnsi="Times" w:cs="Times"/>
        <w:noProof/>
        <w:lang w:val="es-ES" w:eastAsia="es-ES"/>
      </w:rPr>
      <w:drawing>
        <wp:anchor distT="0" distB="0" distL="114300" distR="114300" simplePos="0" relativeHeight="251658240" behindDoc="0" locked="0" layoutInCell="1" allowOverlap="1" wp14:anchorId="4993A72E" wp14:editId="4081777D">
          <wp:simplePos x="0" y="0"/>
          <wp:positionH relativeFrom="column">
            <wp:posOffset>3768090</wp:posOffset>
          </wp:positionH>
          <wp:positionV relativeFrom="paragraph">
            <wp:posOffset>-19050</wp:posOffset>
          </wp:positionV>
          <wp:extent cx="1571625" cy="452755"/>
          <wp:effectExtent l="0" t="0" r="9525" b="444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527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4A5A30E0" w14:textId="77777777" w:rsidR="00874910" w:rsidRDefault="00874910" w:rsidP="00AB7942">
    <w:pPr>
      <w:pStyle w:val="Encabezado"/>
    </w:pPr>
  </w:p>
  <w:p w14:paraId="5FD620E8" w14:textId="77777777" w:rsidR="00874910" w:rsidRDefault="00874910" w:rsidP="008749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43CE2"/>
    <w:multiLevelType w:val="hybridMultilevel"/>
    <w:tmpl w:val="E99EE84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51C24A91"/>
    <w:multiLevelType w:val="hybridMultilevel"/>
    <w:tmpl w:val="A39409B0"/>
    <w:lvl w:ilvl="0" w:tplc="0C0A0001">
      <w:start w:val="1"/>
      <w:numFmt w:val="bullet"/>
      <w:lvlText w:val=""/>
      <w:lvlJc w:val="left"/>
      <w:pPr>
        <w:ind w:left="580" w:hanging="360"/>
      </w:pPr>
      <w:rPr>
        <w:rFonts w:ascii="Symbol" w:hAnsi="Symbol"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 w15:restartNumberingAfterBreak="0">
    <w:nsid w:val="7C3A20BA"/>
    <w:multiLevelType w:val="hybridMultilevel"/>
    <w:tmpl w:val="86D88BA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95"/>
    <w:rsid w:val="000209E5"/>
    <w:rsid w:val="00026219"/>
    <w:rsid w:val="00030C2A"/>
    <w:rsid w:val="00031AAE"/>
    <w:rsid w:val="00032900"/>
    <w:rsid w:val="00034096"/>
    <w:rsid w:val="000377E2"/>
    <w:rsid w:val="000413AB"/>
    <w:rsid w:val="000437F8"/>
    <w:rsid w:val="00055F34"/>
    <w:rsid w:val="00063E68"/>
    <w:rsid w:val="00082F17"/>
    <w:rsid w:val="0008443E"/>
    <w:rsid w:val="00090367"/>
    <w:rsid w:val="000961DD"/>
    <w:rsid w:val="00096772"/>
    <w:rsid w:val="000970CB"/>
    <w:rsid w:val="000A29A9"/>
    <w:rsid w:val="000B0265"/>
    <w:rsid w:val="000C5AF9"/>
    <w:rsid w:val="000D2536"/>
    <w:rsid w:val="000D68BD"/>
    <w:rsid w:val="000E1D3E"/>
    <w:rsid w:val="000F12B8"/>
    <w:rsid w:val="00115867"/>
    <w:rsid w:val="00121C5D"/>
    <w:rsid w:val="00123696"/>
    <w:rsid w:val="00124E9E"/>
    <w:rsid w:val="0012610B"/>
    <w:rsid w:val="00126AD3"/>
    <w:rsid w:val="00147BF1"/>
    <w:rsid w:val="00160CBF"/>
    <w:rsid w:val="00164CA0"/>
    <w:rsid w:val="00180884"/>
    <w:rsid w:val="00180C14"/>
    <w:rsid w:val="00180E2F"/>
    <w:rsid w:val="00197AE1"/>
    <w:rsid w:val="001A1E7D"/>
    <w:rsid w:val="001A7934"/>
    <w:rsid w:val="001B70C7"/>
    <w:rsid w:val="001C32F2"/>
    <w:rsid w:val="001C4F98"/>
    <w:rsid w:val="00207C8B"/>
    <w:rsid w:val="00224CEE"/>
    <w:rsid w:val="002344A1"/>
    <w:rsid w:val="0023509E"/>
    <w:rsid w:val="00261B70"/>
    <w:rsid w:val="0026592C"/>
    <w:rsid w:val="00267C73"/>
    <w:rsid w:val="002801CB"/>
    <w:rsid w:val="00283174"/>
    <w:rsid w:val="00284B9A"/>
    <w:rsid w:val="00295EB1"/>
    <w:rsid w:val="002B3618"/>
    <w:rsid w:val="002B5628"/>
    <w:rsid w:val="002C05A7"/>
    <w:rsid w:val="002C3030"/>
    <w:rsid w:val="002C3817"/>
    <w:rsid w:val="002D220E"/>
    <w:rsid w:val="002D6008"/>
    <w:rsid w:val="002E6C1C"/>
    <w:rsid w:val="002E71F4"/>
    <w:rsid w:val="003024DD"/>
    <w:rsid w:val="00304504"/>
    <w:rsid w:val="00306FE5"/>
    <w:rsid w:val="00307D77"/>
    <w:rsid w:val="0033531A"/>
    <w:rsid w:val="003411DF"/>
    <w:rsid w:val="0035210E"/>
    <w:rsid w:val="0036033B"/>
    <w:rsid w:val="00380F42"/>
    <w:rsid w:val="00383069"/>
    <w:rsid w:val="00394265"/>
    <w:rsid w:val="003A01F4"/>
    <w:rsid w:val="003B278F"/>
    <w:rsid w:val="003B2837"/>
    <w:rsid w:val="003B28A6"/>
    <w:rsid w:val="003B5A19"/>
    <w:rsid w:val="003B728E"/>
    <w:rsid w:val="003C6CAD"/>
    <w:rsid w:val="003D1C24"/>
    <w:rsid w:val="003D2ABC"/>
    <w:rsid w:val="003E7508"/>
    <w:rsid w:val="003F19BC"/>
    <w:rsid w:val="003F5DAF"/>
    <w:rsid w:val="003F6674"/>
    <w:rsid w:val="004041B3"/>
    <w:rsid w:val="00413BE4"/>
    <w:rsid w:val="00415540"/>
    <w:rsid w:val="00440906"/>
    <w:rsid w:val="00441796"/>
    <w:rsid w:val="00450F32"/>
    <w:rsid w:val="00450F3D"/>
    <w:rsid w:val="00452E43"/>
    <w:rsid w:val="00461C12"/>
    <w:rsid w:val="004636A2"/>
    <w:rsid w:val="004746CE"/>
    <w:rsid w:val="00481337"/>
    <w:rsid w:val="004909DE"/>
    <w:rsid w:val="00497DEA"/>
    <w:rsid w:val="004A7BCF"/>
    <w:rsid w:val="004B05F5"/>
    <w:rsid w:val="004B2C9A"/>
    <w:rsid w:val="004B37C1"/>
    <w:rsid w:val="004B49F2"/>
    <w:rsid w:val="004B5569"/>
    <w:rsid w:val="004C4C8E"/>
    <w:rsid w:val="004D7C50"/>
    <w:rsid w:val="004E07FF"/>
    <w:rsid w:val="004E6DC9"/>
    <w:rsid w:val="004E7DF9"/>
    <w:rsid w:val="00502121"/>
    <w:rsid w:val="005025BE"/>
    <w:rsid w:val="00525C6F"/>
    <w:rsid w:val="00537407"/>
    <w:rsid w:val="0056301A"/>
    <w:rsid w:val="00594AC7"/>
    <w:rsid w:val="005950ED"/>
    <w:rsid w:val="005A41B0"/>
    <w:rsid w:val="005A548A"/>
    <w:rsid w:val="005A5AA0"/>
    <w:rsid w:val="005B6ADD"/>
    <w:rsid w:val="005C0CD7"/>
    <w:rsid w:val="005D33B5"/>
    <w:rsid w:val="005D6655"/>
    <w:rsid w:val="005E146D"/>
    <w:rsid w:val="005E3157"/>
    <w:rsid w:val="005E737C"/>
    <w:rsid w:val="00600662"/>
    <w:rsid w:val="006051BE"/>
    <w:rsid w:val="00614A70"/>
    <w:rsid w:val="0061763D"/>
    <w:rsid w:val="0062364D"/>
    <w:rsid w:val="00642840"/>
    <w:rsid w:val="00643D4B"/>
    <w:rsid w:val="0065077B"/>
    <w:rsid w:val="006526A8"/>
    <w:rsid w:val="00654A67"/>
    <w:rsid w:val="00670988"/>
    <w:rsid w:val="006727A2"/>
    <w:rsid w:val="00694CDB"/>
    <w:rsid w:val="00695541"/>
    <w:rsid w:val="006A193F"/>
    <w:rsid w:val="006A3E26"/>
    <w:rsid w:val="006A4DA9"/>
    <w:rsid w:val="006B65EF"/>
    <w:rsid w:val="006B74A6"/>
    <w:rsid w:val="006C6EE5"/>
    <w:rsid w:val="006D0D76"/>
    <w:rsid w:val="006D4F86"/>
    <w:rsid w:val="006D67D5"/>
    <w:rsid w:val="006E55D3"/>
    <w:rsid w:val="006E55EB"/>
    <w:rsid w:val="006F4BF7"/>
    <w:rsid w:val="00700C74"/>
    <w:rsid w:val="00707C33"/>
    <w:rsid w:val="007139DB"/>
    <w:rsid w:val="00715722"/>
    <w:rsid w:val="00730F8F"/>
    <w:rsid w:val="00764EBE"/>
    <w:rsid w:val="00767D2A"/>
    <w:rsid w:val="0077095A"/>
    <w:rsid w:val="00772E74"/>
    <w:rsid w:val="00773FB0"/>
    <w:rsid w:val="0078176F"/>
    <w:rsid w:val="00787D15"/>
    <w:rsid w:val="007A0C6D"/>
    <w:rsid w:val="007A2443"/>
    <w:rsid w:val="007A4FA2"/>
    <w:rsid w:val="007B0E84"/>
    <w:rsid w:val="007B735E"/>
    <w:rsid w:val="007C036F"/>
    <w:rsid w:val="007C395A"/>
    <w:rsid w:val="007C5712"/>
    <w:rsid w:val="007D2838"/>
    <w:rsid w:val="007E26A4"/>
    <w:rsid w:val="007E7893"/>
    <w:rsid w:val="007F0522"/>
    <w:rsid w:val="007F1BD6"/>
    <w:rsid w:val="00804422"/>
    <w:rsid w:val="00807B01"/>
    <w:rsid w:val="00814136"/>
    <w:rsid w:val="0082419E"/>
    <w:rsid w:val="00834FF7"/>
    <w:rsid w:val="00835B72"/>
    <w:rsid w:val="00841A60"/>
    <w:rsid w:val="008470B3"/>
    <w:rsid w:val="00851021"/>
    <w:rsid w:val="00853AC5"/>
    <w:rsid w:val="00853BFB"/>
    <w:rsid w:val="0086061E"/>
    <w:rsid w:val="0086435D"/>
    <w:rsid w:val="00874910"/>
    <w:rsid w:val="008749C5"/>
    <w:rsid w:val="008846E2"/>
    <w:rsid w:val="00887CE9"/>
    <w:rsid w:val="00891E71"/>
    <w:rsid w:val="00893757"/>
    <w:rsid w:val="008B5DCA"/>
    <w:rsid w:val="008E2E6A"/>
    <w:rsid w:val="008E6757"/>
    <w:rsid w:val="008F7CDF"/>
    <w:rsid w:val="00910266"/>
    <w:rsid w:val="0091080C"/>
    <w:rsid w:val="009127EF"/>
    <w:rsid w:val="00920080"/>
    <w:rsid w:val="009222BB"/>
    <w:rsid w:val="00926686"/>
    <w:rsid w:val="0093153A"/>
    <w:rsid w:val="00936643"/>
    <w:rsid w:val="0093763B"/>
    <w:rsid w:val="0094238A"/>
    <w:rsid w:val="00942958"/>
    <w:rsid w:val="00952AF2"/>
    <w:rsid w:val="0096056F"/>
    <w:rsid w:val="0096411F"/>
    <w:rsid w:val="00970DEA"/>
    <w:rsid w:val="00983A18"/>
    <w:rsid w:val="00990C75"/>
    <w:rsid w:val="009A39F5"/>
    <w:rsid w:val="009A6192"/>
    <w:rsid w:val="009A63D2"/>
    <w:rsid w:val="009C582F"/>
    <w:rsid w:val="009C60AA"/>
    <w:rsid w:val="009D18C0"/>
    <w:rsid w:val="009D2A6B"/>
    <w:rsid w:val="009D2DBD"/>
    <w:rsid w:val="009D6B91"/>
    <w:rsid w:val="009E0E51"/>
    <w:rsid w:val="009E2C40"/>
    <w:rsid w:val="00A0006C"/>
    <w:rsid w:val="00A010E8"/>
    <w:rsid w:val="00A03CCA"/>
    <w:rsid w:val="00A0642D"/>
    <w:rsid w:val="00A15E0E"/>
    <w:rsid w:val="00A34382"/>
    <w:rsid w:val="00A363A1"/>
    <w:rsid w:val="00A45248"/>
    <w:rsid w:val="00A509DF"/>
    <w:rsid w:val="00A52672"/>
    <w:rsid w:val="00A5315F"/>
    <w:rsid w:val="00A56B4A"/>
    <w:rsid w:val="00A63EB9"/>
    <w:rsid w:val="00A74B1A"/>
    <w:rsid w:val="00A75555"/>
    <w:rsid w:val="00A76264"/>
    <w:rsid w:val="00A96FD3"/>
    <w:rsid w:val="00AA558C"/>
    <w:rsid w:val="00AB7942"/>
    <w:rsid w:val="00AC39B2"/>
    <w:rsid w:val="00AC6215"/>
    <w:rsid w:val="00AD3665"/>
    <w:rsid w:val="00AD6E95"/>
    <w:rsid w:val="00AD7A96"/>
    <w:rsid w:val="00AE0B6C"/>
    <w:rsid w:val="00AE1712"/>
    <w:rsid w:val="00AF0541"/>
    <w:rsid w:val="00AF3817"/>
    <w:rsid w:val="00AF6B01"/>
    <w:rsid w:val="00B067F0"/>
    <w:rsid w:val="00B12737"/>
    <w:rsid w:val="00B14A03"/>
    <w:rsid w:val="00B151BA"/>
    <w:rsid w:val="00B30EFD"/>
    <w:rsid w:val="00B3416C"/>
    <w:rsid w:val="00B35BE9"/>
    <w:rsid w:val="00B416B0"/>
    <w:rsid w:val="00B43E75"/>
    <w:rsid w:val="00B462D4"/>
    <w:rsid w:val="00B621C8"/>
    <w:rsid w:val="00B6517B"/>
    <w:rsid w:val="00B6647C"/>
    <w:rsid w:val="00B71CB4"/>
    <w:rsid w:val="00B77B96"/>
    <w:rsid w:val="00B81227"/>
    <w:rsid w:val="00B81F75"/>
    <w:rsid w:val="00B85E47"/>
    <w:rsid w:val="00BB426E"/>
    <w:rsid w:val="00BB4BBB"/>
    <w:rsid w:val="00BB7401"/>
    <w:rsid w:val="00BD358C"/>
    <w:rsid w:val="00BD5F22"/>
    <w:rsid w:val="00BE1917"/>
    <w:rsid w:val="00BE4BA6"/>
    <w:rsid w:val="00BE4E11"/>
    <w:rsid w:val="00BE5989"/>
    <w:rsid w:val="00BE75C0"/>
    <w:rsid w:val="00C00F2A"/>
    <w:rsid w:val="00C160CF"/>
    <w:rsid w:val="00C2004C"/>
    <w:rsid w:val="00C30A45"/>
    <w:rsid w:val="00C30EBD"/>
    <w:rsid w:val="00C3165A"/>
    <w:rsid w:val="00C46BB3"/>
    <w:rsid w:val="00C52BFA"/>
    <w:rsid w:val="00C65521"/>
    <w:rsid w:val="00C66898"/>
    <w:rsid w:val="00C72775"/>
    <w:rsid w:val="00C8012F"/>
    <w:rsid w:val="00C855BD"/>
    <w:rsid w:val="00C90E57"/>
    <w:rsid w:val="00C96A69"/>
    <w:rsid w:val="00C97651"/>
    <w:rsid w:val="00CB384E"/>
    <w:rsid w:val="00CC0AF1"/>
    <w:rsid w:val="00CC51FF"/>
    <w:rsid w:val="00CC622F"/>
    <w:rsid w:val="00CD42FB"/>
    <w:rsid w:val="00CD6872"/>
    <w:rsid w:val="00CF031B"/>
    <w:rsid w:val="00CF5039"/>
    <w:rsid w:val="00CF7866"/>
    <w:rsid w:val="00D00A29"/>
    <w:rsid w:val="00D03AEC"/>
    <w:rsid w:val="00D12986"/>
    <w:rsid w:val="00D2152B"/>
    <w:rsid w:val="00D2705E"/>
    <w:rsid w:val="00D34958"/>
    <w:rsid w:val="00D34B03"/>
    <w:rsid w:val="00D423C2"/>
    <w:rsid w:val="00D42A06"/>
    <w:rsid w:val="00D55C90"/>
    <w:rsid w:val="00D777FE"/>
    <w:rsid w:val="00D778CD"/>
    <w:rsid w:val="00D90DF2"/>
    <w:rsid w:val="00D92F9E"/>
    <w:rsid w:val="00D932D5"/>
    <w:rsid w:val="00D96B69"/>
    <w:rsid w:val="00DA1268"/>
    <w:rsid w:val="00DA2FCD"/>
    <w:rsid w:val="00DA4A72"/>
    <w:rsid w:val="00DC3268"/>
    <w:rsid w:val="00DD6442"/>
    <w:rsid w:val="00DD71B8"/>
    <w:rsid w:val="00DE7F03"/>
    <w:rsid w:val="00DF4CF9"/>
    <w:rsid w:val="00DF701D"/>
    <w:rsid w:val="00E013AC"/>
    <w:rsid w:val="00E03AEA"/>
    <w:rsid w:val="00E16A14"/>
    <w:rsid w:val="00E17677"/>
    <w:rsid w:val="00E20A38"/>
    <w:rsid w:val="00E20BC0"/>
    <w:rsid w:val="00E24547"/>
    <w:rsid w:val="00E25714"/>
    <w:rsid w:val="00E366FE"/>
    <w:rsid w:val="00E46381"/>
    <w:rsid w:val="00E5718A"/>
    <w:rsid w:val="00E67862"/>
    <w:rsid w:val="00E735C6"/>
    <w:rsid w:val="00E73868"/>
    <w:rsid w:val="00E73B77"/>
    <w:rsid w:val="00E73BE2"/>
    <w:rsid w:val="00E816CF"/>
    <w:rsid w:val="00E86847"/>
    <w:rsid w:val="00EB05AD"/>
    <w:rsid w:val="00EB2DA1"/>
    <w:rsid w:val="00EC534D"/>
    <w:rsid w:val="00EC7BBB"/>
    <w:rsid w:val="00ED34F7"/>
    <w:rsid w:val="00EF2C4F"/>
    <w:rsid w:val="00F01926"/>
    <w:rsid w:val="00F0576A"/>
    <w:rsid w:val="00F06820"/>
    <w:rsid w:val="00F14082"/>
    <w:rsid w:val="00F27C8F"/>
    <w:rsid w:val="00F410A6"/>
    <w:rsid w:val="00F456E9"/>
    <w:rsid w:val="00F56048"/>
    <w:rsid w:val="00F5662F"/>
    <w:rsid w:val="00F60264"/>
    <w:rsid w:val="00F6150C"/>
    <w:rsid w:val="00F62FBC"/>
    <w:rsid w:val="00F746D7"/>
    <w:rsid w:val="00F81733"/>
    <w:rsid w:val="00F817B9"/>
    <w:rsid w:val="00F81873"/>
    <w:rsid w:val="00F819F5"/>
    <w:rsid w:val="00F91ECB"/>
    <w:rsid w:val="00F950FD"/>
    <w:rsid w:val="00F96600"/>
    <w:rsid w:val="00FA6CB7"/>
    <w:rsid w:val="00FC0619"/>
    <w:rsid w:val="00FC13B0"/>
    <w:rsid w:val="00FC4D27"/>
    <w:rsid w:val="00FD0D29"/>
    <w:rsid w:val="00FD77E4"/>
    <w:rsid w:val="00FE7EA7"/>
    <w:rsid w:val="00FF2B4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B9753F"/>
  <w15:docId w15:val="{356A98B9-DAC8-451F-82AF-9B66EC2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E95"/>
    <w:pPr>
      <w:tabs>
        <w:tab w:val="center" w:pos="4252"/>
        <w:tab w:val="right" w:pos="8504"/>
      </w:tabs>
    </w:pPr>
  </w:style>
  <w:style w:type="character" w:customStyle="1" w:styleId="EncabezadoCar">
    <w:name w:val="Encabezado Car"/>
    <w:basedOn w:val="Fuentedeprrafopredeter"/>
    <w:link w:val="Encabezado"/>
    <w:uiPriority w:val="99"/>
    <w:rsid w:val="00AD6E95"/>
  </w:style>
  <w:style w:type="paragraph" w:styleId="Piedepgina">
    <w:name w:val="footer"/>
    <w:basedOn w:val="Normal"/>
    <w:link w:val="PiedepginaCar"/>
    <w:uiPriority w:val="99"/>
    <w:unhideWhenUsed/>
    <w:rsid w:val="00AD6E95"/>
    <w:pPr>
      <w:tabs>
        <w:tab w:val="center" w:pos="4252"/>
        <w:tab w:val="right" w:pos="8504"/>
      </w:tabs>
    </w:pPr>
  </w:style>
  <w:style w:type="character" w:customStyle="1" w:styleId="PiedepginaCar">
    <w:name w:val="Pie de página Car"/>
    <w:basedOn w:val="Fuentedeprrafopredeter"/>
    <w:link w:val="Piedepgina"/>
    <w:uiPriority w:val="99"/>
    <w:rsid w:val="00AD6E95"/>
  </w:style>
  <w:style w:type="table" w:styleId="Tablaconcuadrcula">
    <w:name w:val="Table Grid"/>
    <w:basedOn w:val="Tablanormal"/>
    <w:uiPriority w:val="39"/>
    <w:rsid w:val="00AD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6E95"/>
    <w:rPr>
      <w:color w:val="0563C1" w:themeColor="hyperlink"/>
      <w:u w:val="single"/>
    </w:rPr>
  </w:style>
  <w:style w:type="paragraph" w:styleId="Prrafodelista">
    <w:name w:val="List Paragraph"/>
    <w:basedOn w:val="Normal"/>
    <w:uiPriority w:val="34"/>
    <w:qFormat/>
    <w:rsid w:val="006F4BF7"/>
    <w:pPr>
      <w:ind w:left="720"/>
      <w:contextualSpacing/>
    </w:pPr>
  </w:style>
  <w:style w:type="paragraph" w:styleId="Textodeglobo">
    <w:name w:val="Balloon Text"/>
    <w:basedOn w:val="Normal"/>
    <w:link w:val="TextodegloboCar"/>
    <w:uiPriority w:val="99"/>
    <w:semiHidden/>
    <w:unhideWhenUsed/>
    <w:rsid w:val="00D42A0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2A06"/>
    <w:rPr>
      <w:rFonts w:ascii="Lucida Grande" w:hAnsi="Lucida Grande"/>
      <w:sz w:val="18"/>
      <w:szCs w:val="18"/>
    </w:rPr>
  </w:style>
  <w:style w:type="character" w:styleId="Refdecomentario">
    <w:name w:val="annotation reference"/>
    <w:basedOn w:val="Fuentedeprrafopredeter"/>
    <w:uiPriority w:val="99"/>
    <w:semiHidden/>
    <w:unhideWhenUsed/>
    <w:rsid w:val="000961DD"/>
    <w:rPr>
      <w:sz w:val="16"/>
      <w:szCs w:val="16"/>
    </w:rPr>
  </w:style>
  <w:style w:type="paragraph" w:styleId="Textocomentario">
    <w:name w:val="annotation text"/>
    <w:basedOn w:val="Normal"/>
    <w:link w:val="TextocomentarioCar"/>
    <w:uiPriority w:val="99"/>
    <w:semiHidden/>
    <w:unhideWhenUsed/>
    <w:rsid w:val="000961DD"/>
    <w:rPr>
      <w:sz w:val="20"/>
      <w:szCs w:val="20"/>
    </w:rPr>
  </w:style>
  <w:style w:type="character" w:customStyle="1" w:styleId="TextocomentarioCar">
    <w:name w:val="Texto comentario Car"/>
    <w:basedOn w:val="Fuentedeprrafopredeter"/>
    <w:link w:val="Textocomentario"/>
    <w:uiPriority w:val="99"/>
    <w:semiHidden/>
    <w:rsid w:val="000961DD"/>
    <w:rPr>
      <w:sz w:val="20"/>
      <w:szCs w:val="20"/>
    </w:rPr>
  </w:style>
  <w:style w:type="paragraph" w:styleId="Asuntodelcomentario">
    <w:name w:val="annotation subject"/>
    <w:basedOn w:val="Textocomentario"/>
    <w:next w:val="Textocomentario"/>
    <w:link w:val="AsuntodelcomentarioCar"/>
    <w:uiPriority w:val="99"/>
    <w:semiHidden/>
    <w:unhideWhenUsed/>
    <w:rsid w:val="000961DD"/>
    <w:rPr>
      <w:b/>
      <w:bCs/>
    </w:rPr>
  </w:style>
  <w:style w:type="character" w:customStyle="1" w:styleId="AsuntodelcomentarioCar">
    <w:name w:val="Asunto del comentario Car"/>
    <w:basedOn w:val="TextocomentarioCar"/>
    <w:link w:val="Asuntodelcomentario"/>
    <w:uiPriority w:val="99"/>
    <w:semiHidden/>
    <w:rsid w:val="000961DD"/>
    <w:rPr>
      <w:b/>
      <w:bCs/>
      <w:sz w:val="20"/>
      <w:szCs w:val="20"/>
    </w:rPr>
  </w:style>
  <w:style w:type="paragraph" w:styleId="Revisin">
    <w:name w:val="Revision"/>
    <w:hidden/>
    <w:uiPriority w:val="99"/>
    <w:semiHidden/>
    <w:rsid w:val="006D0D76"/>
  </w:style>
  <w:style w:type="paragraph" w:styleId="Sinespaciado">
    <w:name w:val="No Spacing"/>
    <w:uiPriority w:val="1"/>
    <w:qFormat/>
    <w:rsid w:val="00D12986"/>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59638">
      <w:bodyDiv w:val="1"/>
      <w:marLeft w:val="0"/>
      <w:marRight w:val="0"/>
      <w:marTop w:val="0"/>
      <w:marBottom w:val="0"/>
      <w:divBdr>
        <w:top w:val="none" w:sz="0" w:space="0" w:color="auto"/>
        <w:left w:val="none" w:sz="0" w:space="0" w:color="auto"/>
        <w:bottom w:val="none" w:sz="0" w:space="0" w:color="auto"/>
        <w:right w:val="none" w:sz="0" w:space="0" w:color="auto"/>
      </w:divBdr>
    </w:div>
    <w:div w:id="591668504">
      <w:bodyDiv w:val="1"/>
      <w:marLeft w:val="0"/>
      <w:marRight w:val="0"/>
      <w:marTop w:val="0"/>
      <w:marBottom w:val="0"/>
      <w:divBdr>
        <w:top w:val="none" w:sz="0" w:space="0" w:color="auto"/>
        <w:left w:val="none" w:sz="0" w:space="0" w:color="auto"/>
        <w:bottom w:val="none" w:sz="0" w:space="0" w:color="auto"/>
        <w:right w:val="none" w:sz="0" w:space="0" w:color="auto"/>
      </w:divBdr>
      <w:divsChild>
        <w:div w:id="1573738512">
          <w:marLeft w:val="0"/>
          <w:marRight w:val="0"/>
          <w:marTop w:val="0"/>
          <w:marBottom w:val="0"/>
          <w:divBdr>
            <w:top w:val="none" w:sz="0" w:space="0" w:color="auto"/>
            <w:left w:val="none" w:sz="0" w:space="0" w:color="auto"/>
            <w:bottom w:val="none" w:sz="0" w:space="0" w:color="auto"/>
            <w:right w:val="none" w:sz="0" w:space="0" w:color="auto"/>
          </w:divBdr>
        </w:div>
        <w:div w:id="121774294">
          <w:marLeft w:val="0"/>
          <w:marRight w:val="0"/>
          <w:marTop w:val="0"/>
          <w:marBottom w:val="0"/>
          <w:divBdr>
            <w:top w:val="none" w:sz="0" w:space="0" w:color="auto"/>
            <w:left w:val="none" w:sz="0" w:space="0" w:color="auto"/>
            <w:bottom w:val="none" w:sz="0" w:space="0" w:color="auto"/>
            <w:right w:val="none" w:sz="0" w:space="0" w:color="auto"/>
          </w:divBdr>
        </w:div>
        <w:div w:id="1397049467">
          <w:marLeft w:val="0"/>
          <w:marRight w:val="0"/>
          <w:marTop w:val="0"/>
          <w:marBottom w:val="0"/>
          <w:divBdr>
            <w:top w:val="none" w:sz="0" w:space="0" w:color="auto"/>
            <w:left w:val="none" w:sz="0" w:space="0" w:color="auto"/>
            <w:bottom w:val="none" w:sz="0" w:space="0" w:color="auto"/>
            <w:right w:val="none" w:sz="0" w:space="0" w:color="auto"/>
          </w:divBdr>
        </w:div>
        <w:div w:id="1096096271">
          <w:marLeft w:val="0"/>
          <w:marRight w:val="0"/>
          <w:marTop w:val="0"/>
          <w:marBottom w:val="0"/>
          <w:divBdr>
            <w:top w:val="none" w:sz="0" w:space="0" w:color="auto"/>
            <w:left w:val="none" w:sz="0" w:space="0" w:color="auto"/>
            <w:bottom w:val="none" w:sz="0" w:space="0" w:color="auto"/>
            <w:right w:val="none" w:sz="0" w:space="0" w:color="auto"/>
          </w:divBdr>
        </w:div>
        <w:div w:id="908997159">
          <w:marLeft w:val="0"/>
          <w:marRight w:val="0"/>
          <w:marTop w:val="0"/>
          <w:marBottom w:val="0"/>
          <w:divBdr>
            <w:top w:val="none" w:sz="0" w:space="0" w:color="auto"/>
            <w:left w:val="none" w:sz="0" w:space="0" w:color="auto"/>
            <w:bottom w:val="none" w:sz="0" w:space="0" w:color="auto"/>
            <w:right w:val="none" w:sz="0" w:space="0" w:color="auto"/>
          </w:divBdr>
        </w:div>
      </w:divsChild>
    </w:div>
    <w:div w:id="722170574">
      <w:bodyDiv w:val="1"/>
      <w:marLeft w:val="0"/>
      <w:marRight w:val="0"/>
      <w:marTop w:val="0"/>
      <w:marBottom w:val="0"/>
      <w:divBdr>
        <w:top w:val="none" w:sz="0" w:space="0" w:color="auto"/>
        <w:left w:val="none" w:sz="0" w:space="0" w:color="auto"/>
        <w:bottom w:val="none" w:sz="0" w:space="0" w:color="auto"/>
        <w:right w:val="none" w:sz="0" w:space="0" w:color="auto"/>
      </w:divBdr>
    </w:div>
    <w:div w:id="873344913">
      <w:bodyDiv w:val="1"/>
      <w:marLeft w:val="0"/>
      <w:marRight w:val="0"/>
      <w:marTop w:val="0"/>
      <w:marBottom w:val="0"/>
      <w:divBdr>
        <w:top w:val="none" w:sz="0" w:space="0" w:color="auto"/>
        <w:left w:val="none" w:sz="0" w:space="0" w:color="auto"/>
        <w:bottom w:val="none" w:sz="0" w:space="0" w:color="auto"/>
        <w:right w:val="none" w:sz="0" w:space="0" w:color="auto"/>
      </w:divBdr>
    </w:div>
    <w:div w:id="1202933680">
      <w:bodyDiv w:val="1"/>
      <w:marLeft w:val="0"/>
      <w:marRight w:val="0"/>
      <w:marTop w:val="0"/>
      <w:marBottom w:val="0"/>
      <w:divBdr>
        <w:top w:val="none" w:sz="0" w:space="0" w:color="auto"/>
        <w:left w:val="none" w:sz="0" w:space="0" w:color="auto"/>
        <w:bottom w:val="none" w:sz="0" w:space="0" w:color="auto"/>
        <w:right w:val="none" w:sz="0" w:space="0" w:color="auto"/>
      </w:divBdr>
    </w:div>
    <w:div w:id="1748185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valt.es/sala-de-pren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uente@gesvalt.e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F8E1-9268-4784-B6C5-3279945A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1387</Words>
  <Characters>7629</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 Santamaria</dc:creator>
  <cp:keywords/>
  <dc:description/>
  <cp:lastModifiedBy>Daniel Santiago Durán</cp:lastModifiedBy>
  <cp:revision>3</cp:revision>
  <cp:lastPrinted>2020-10-06T08:37:00Z</cp:lastPrinted>
  <dcterms:created xsi:type="dcterms:W3CDTF">2020-10-06T07:30:00Z</dcterms:created>
  <dcterms:modified xsi:type="dcterms:W3CDTF">2020-10-06T08:44:00Z</dcterms:modified>
</cp:coreProperties>
</file>