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CE79" w14:textId="77777777" w:rsidR="00B755B5" w:rsidRDefault="00B755B5" w:rsidP="004F7A2A">
      <w:pPr>
        <w:pStyle w:val="Prrafodelista"/>
        <w:spacing w:line="276" w:lineRule="auto"/>
        <w:ind w:left="580"/>
        <w:jc w:val="center"/>
        <w:rPr>
          <w:rFonts w:ascii="Cambria" w:hAnsi="Cambria" w:cs="Times"/>
          <w:b/>
          <w:sz w:val="44"/>
          <w:szCs w:val="44"/>
        </w:rPr>
      </w:pPr>
      <w:bookmarkStart w:id="0" w:name="_Hlk12442681"/>
    </w:p>
    <w:p w14:paraId="3484FD29" w14:textId="707F92C6" w:rsidR="00433810" w:rsidRDefault="00034FD5" w:rsidP="00735419">
      <w:pPr>
        <w:pStyle w:val="Prrafodelista"/>
        <w:spacing w:line="276" w:lineRule="auto"/>
        <w:ind w:left="580"/>
        <w:jc w:val="center"/>
        <w:rPr>
          <w:rFonts w:ascii="Cambria" w:hAnsi="Cambria" w:cs="Times"/>
          <w:b/>
          <w:sz w:val="44"/>
          <w:szCs w:val="44"/>
        </w:rPr>
      </w:pPr>
      <w:proofErr w:type="spellStart"/>
      <w:r w:rsidRPr="00034FD5">
        <w:rPr>
          <w:rFonts w:ascii="Cambria" w:hAnsi="Cambria" w:cs="Times"/>
          <w:b/>
          <w:sz w:val="44"/>
          <w:szCs w:val="44"/>
        </w:rPr>
        <w:t>Gesvalt</w:t>
      </w:r>
      <w:proofErr w:type="spellEnd"/>
      <w:r w:rsidRPr="00034FD5">
        <w:rPr>
          <w:rFonts w:ascii="Cambria" w:hAnsi="Cambria" w:cs="Times"/>
          <w:b/>
          <w:sz w:val="44"/>
          <w:szCs w:val="44"/>
        </w:rPr>
        <w:t xml:space="preserve"> anticipa una tendencia creciente de inversión en el sector agroalimentario</w:t>
      </w:r>
    </w:p>
    <w:p w14:paraId="692E990F" w14:textId="77777777" w:rsidR="00034FD5" w:rsidRPr="00735419" w:rsidRDefault="00034FD5" w:rsidP="00735419">
      <w:pPr>
        <w:pStyle w:val="Prrafodelista"/>
        <w:spacing w:line="276" w:lineRule="auto"/>
        <w:ind w:left="580"/>
        <w:jc w:val="center"/>
        <w:rPr>
          <w:rFonts w:ascii="Cambria" w:hAnsi="Cambria" w:cs="Times"/>
          <w:b/>
        </w:rPr>
      </w:pPr>
    </w:p>
    <w:bookmarkEnd w:id="0"/>
    <w:p w14:paraId="6305B483" w14:textId="349A7D8E" w:rsidR="00034FD5" w:rsidRDefault="00034FD5" w:rsidP="006262C3">
      <w:pPr>
        <w:widowControl w:val="0"/>
        <w:numPr>
          <w:ilvl w:val="0"/>
          <w:numId w:val="6"/>
        </w:numPr>
        <w:tabs>
          <w:tab w:val="left" w:pos="220"/>
          <w:tab w:val="left" w:pos="720"/>
        </w:tabs>
        <w:autoSpaceDE w:val="0"/>
        <w:autoSpaceDN w:val="0"/>
        <w:adjustRightInd w:val="0"/>
        <w:spacing w:after="240" w:line="340" w:lineRule="atLeast"/>
        <w:jc w:val="both"/>
        <w:rPr>
          <w:rFonts w:ascii="Cambria" w:hAnsi="Cambria" w:cs="Times"/>
          <w:b/>
        </w:rPr>
      </w:pPr>
      <w:r w:rsidRPr="00034FD5">
        <w:rPr>
          <w:rFonts w:ascii="Cambria" w:hAnsi="Cambria" w:cs="Times"/>
          <w:b/>
        </w:rPr>
        <w:t xml:space="preserve">Un nuevo informe de la consultora indica que la inversión en las tierras de cultivo y agrarias se incrementará en los próximos años en Europa, siguiendo la tendencia </w:t>
      </w:r>
      <w:r w:rsidR="00B12BFB">
        <w:rPr>
          <w:rFonts w:ascii="Cambria" w:hAnsi="Cambria" w:cs="Times"/>
          <w:b/>
        </w:rPr>
        <w:t>marcada en E</w:t>
      </w:r>
      <w:r w:rsidRPr="00034FD5">
        <w:rPr>
          <w:rFonts w:ascii="Cambria" w:hAnsi="Cambria" w:cs="Times"/>
          <w:b/>
        </w:rPr>
        <w:t xml:space="preserve">stados </w:t>
      </w:r>
      <w:r w:rsidR="00B12BFB">
        <w:rPr>
          <w:rFonts w:ascii="Cambria" w:hAnsi="Cambria" w:cs="Times"/>
          <w:b/>
        </w:rPr>
        <w:t>U</w:t>
      </w:r>
      <w:r w:rsidRPr="00034FD5">
        <w:rPr>
          <w:rFonts w:ascii="Cambria" w:hAnsi="Cambria" w:cs="Times"/>
          <w:b/>
        </w:rPr>
        <w:t>nidos.</w:t>
      </w:r>
    </w:p>
    <w:p w14:paraId="25CF7440" w14:textId="7BCB4EC4" w:rsidR="00AC07CE" w:rsidRPr="00034FD5" w:rsidRDefault="00AC07CE" w:rsidP="006262C3">
      <w:pPr>
        <w:widowControl w:val="0"/>
        <w:numPr>
          <w:ilvl w:val="0"/>
          <w:numId w:val="6"/>
        </w:numPr>
        <w:tabs>
          <w:tab w:val="left" w:pos="220"/>
          <w:tab w:val="left" w:pos="720"/>
        </w:tabs>
        <w:autoSpaceDE w:val="0"/>
        <w:autoSpaceDN w:val="0"/>
        <w:adjustRightInd w:val="0"/>
        <w:spacing w:after="240" w:line="340" w:lineRule="atLeast"/>
        <w:jc w:val="both"/>
        <w:rPr>
          <w:rFonts w:ascii="Cambria" w:hAnsi="Cambria" w:cs="Times"/>
          <w:b/>
        </w:rPr>
      </w:pPr>
      <w:r>
        <w:rPr>
          <w:rFonts w:ascii="Cambria" w:hAnsi="Cambria" w:cs="Times"/>
          <w:b/>
        </w:rPr>
        <w:t xml:space="preserve">Los fondos de inversión están apostando por este tipo de activos ante las perspectivas de crecimiento poblacional mundial, las futuras necesidades de alimentación y el complejo entorno financiero actual, con escasas oportunidades de obtener una alta rentabilidad. </w:t>
      </w:r>
    </w:p>
    <w:p w14:paraId="16A8657E" w14:textId="77777777" w:rsidR="00AD6E95" w:rsidRPr="002344A1" w:rsidRDefault="00AD6E95" w:rsidP="00F91ECB">
      <w:pPr>
        <w:widowControl w:val="0"/>
        <w:numPr>
          <w:ilvl w:val="0"/>
          <w:numId w:val="1"/>
        </w:numPr>
        <w:tabs>
          <w:tab w:val="left" w:pos="220"/>
          <w:tab w:val="left" w:pos="720"/>
        </w:tabs>
        <w:autoSpaceDE w:val="0"/>
        <w:autoSpaceDN w:val="0"/>
        <w:adjustRightInd w:val="0"/>
        <w:spacing w:after="240" w:line="340" w:lineRule="atLeast"/>
        <w:ind w:hanging="720"/>
        <w:jc w:val="center"/>
        <w:rPr>
          <w:rFonts w:ascii="Cambria" w:hAnsi="Cambria" w:cs="Times"/>
        </w:rPr>
      </w:pPr>
      <w:r w:rsidRPr="002344A1">
        <w:rPr>
          <w:rFonts w:ascii="Cambria" w:hAnsi="Cambria" w:cs="Times"/>
        </w:rPr>
        <w:t xml:space="preserve">Puedes encontrar esta noticia y otras en </w:t>
      </w:r>
      <w:hyperlink r:id="rId8" w:history="1">
        <w:r w:rsidRPr="002344A1">
          <w:rPr>
            <w:rStyle w:val="Hipervnculo"/>
            <w:rFonts w:ascii="Cambria" w:hAnsi="Cambria" w:cs="Times"/>
          </w:rPr>
          <w:t>nuestra web</w:t>
        </w:r>
      </w:hyperlink>
      <w:r w:rsidRPr="002344A1">
        <w:rPr>
          <w:rFonts w:ascii="Cambria" w:hAnsi="Cambria" w:cs="Times"/>
          <w:color w:val="0B4CB4"/>
        </w:rPr>
        <w:t xml:space="preserve"> </w:t>
      </w:r>
      <w:r w:rsidRPr="002344A1">
        <w:rPr>
          <w:rFonts w:ascii="Cambria" w:hAnsi="Cambria" w:cs="Times"/>
        </w:rPr>
        <w:t xml:space="preserve">y en </w:t>
      </w:r>
      <w:r w:rsidRPr="002344A1">
        <w:rPr>
          <w:rFonts w:ascii="Cambria" w:hAnsi="Cambria" w:cs="Times"/>
          <w:color w:val="0B4CB4"/>
        </w:rPr>
        <w:t>@gesvalt</w:t>
      </w:r>
    </w:p>
    <w:p w14:paraId="015ECACE" w14:textId="0AB5ED6E" w:rsidR="00034FD5" w:rsidRDefault="00FA6CB7" w:rsidP="005A548A">
      <w:pPr>
        <w:spacing w:line="276" w:lineRule="auto"/>
        <w:jc w:val="both"/>
        <w:rPr>
          <w:rFonts w:ascii="Cambria" w:hAnsi="Cambria" w:cs="Baghdad"/>
          <w:bCs/>
        </w:rPr>
      </w:pPr>
      <w:r>
        <w:rPr>
          <w:rFonts w:ascii="Cambria" w:hAnsi="Cambria" w:cs="Baghdad"/>
          <w:b/>
          <w:bCs/>
        </w:rPr>
        <w:t>Madrid</w:t>
      </w:r>
      <w:r w:rsidR="00920080" w:rsidRPr="00FA6CB7">
        <w:rPr>
          <w:rFonts w:ascii="Cambria" w:hAnsi="Cambria" w:cs="Baghdad"/>
          <w:b/>
          <w:bCs/>
        </w:rPr>
        <w:t xml:space="preserve">, </w:t>
      </w:r>
      <w:r w:rsidR="00CE024A">
        <w:rPr>
          <w:rFonts w:ascii="Cambria" w:hAnsi="Cambria" w:cs="Baghdad"/>
          <w:b/>
          <w:bCs/>
        </w:rPr>
        <w:t>06</w:t>
      </w:r>
      <w:r w:rsidR="00735419">
        <w:rPr>
          <w:rFonts w:ascii="Cambria" w:hAnsi="Cambria" w:cs="Baghdad"/>
          <w:b/>
          <w:bCs/>
        </w:rPr>
        <w:t xml:space="preserve"> de </w:t>
      </w:r>
      <w:r w:rsidR="006F3034">
        <w:rPr>
          <w:rFonts w:ascii="Cambria" w:hAnsi="Cambria" w:cs="Baghdad"/>
          <w:b/>
          <w:bCs/>
        </w:rPr>
        <w:t>mayo</w:t>
      </w:r>
      <w:r w:rsidR="00735419">
        <w:rPr>
          <w:rFonts w:ascii="Cambria" w:hAnsi="Cambria" w:cs="Baghdad"/>
          <w:b/>
          <w:bCs/>
        </w:rPr>
        <w:t xml:space="preserve"> de 202</w:t>
      </w:r>
      <w:r w:rsidR="00105FDD">
        <w:rPr>
          <w:rFonts w:ascii="Cambria" w:hAnsi="Cambria" w:cs="Baghdad"/>
          <w:b/>
          <w:bCs/>
        </w:rPr>
        <w:t>1</w:t>
      </w:r>
      <w:r w:rsidR="00893757" w:rsidRPr="002344A1">
        <w:rPr>
          <w:rFonts w:ascii="Cambria" w:hAnsi="Cambria" w:cs="Baghdad"/>
          <w:b/>
          <w:bCs/>
        </w:rPr>
        <w:t xml:space="preserve"> </w:t>
      </w:r>
      <w:r w:rsidR="00F746D7">
        <w:rPr>
          <w:rFonts w:ascii="Cambria" w:hAnsi="Cambria" w:cs="Baghdad"/>
          <w:b/>
          <w:bCs/>
        </w:rPr>
        <w:t>–</w:t>
      </w:r>
      <w:r w:rsidR="00E735C6" w:rsidRPr="00E735C6">
        <w:rPr>
          <w:rFonts w:ascii="Cambria" w:hAnsi="Cambria" w:cs="Baghdad"/>
          <w:bCs/>
        </w:rPr>
        <w:t xml:space="preserve"> </w:t>
      </w:r>
      <w:proofErr w:type="spellStart"/>
      <w:r w:rsidR="007B735E">
        <w:rPr>
          <w:rFonts w:ascii="Cambria" w:hAnsi="Cambria" w:cs="Baghdad"/>
          <w:bCs/>
        </w:rPr>
        <w:t>Gesvalt</w:t>
      </w:r>
      <w:proofErr w:type="spellEnd"/>
      <w:r w:rsidR="007B735E">
        <w:rPr>
          <w:rFonts w:ascii="Cambria" w:hAnsi="Cambria" w:cs="Baghdad"/>
          <w:bCs/>
        </w:rPr>
        <w:t xml:space="preserve">, compañía de referencia en </w:t>
      </w:r>
      <w:r w:rsidR="007B735E" w:rsidRPr="007B735E">
        <w:rPr>
          <w:rFonts w:ascii="Cambria" w:hAnsi="Cambria" w:cs="Baghdad"/>
          <w:bCs/>
        </w:rPr>
        <w:t xml:space="preserve">el sector de la consultoría, valoración y actuaciones </w:t>
      </w:r>
      <w:r w:rsidR="002E7195" w:rsidRPr="007B735E">
        <w:rPr>
          <w:rFonts w:ascii="Cambria" w:hAnsi="Cambria" w:cs="Baghdad"/>
          <w:bCs/>
        </w:rPr>
        <w:t>técnicas</w:t>
      </w:r>
      <w:r w:rsidR="007C43CC">
        <w:rPr>
          <w:rFonts w:ascii="Cambria" w:hAnsi="Cambria" w:cs="Baghdad"/>
          <w:bCs/>
        </w:rPr>
        <w:t>,</w:t>
      </w:r>
      <w:r w:rsidR="007B735E">
        <w:rPr>
          <w:rFonts w:ascii="Cambria" w:hAnsi="Cambria" w:cs="Baghdad"/>
          <w:bCs/>
        </w:rPr>
        <w:t xml:space="preserve"> ha</w:t>
      </w:r>
      <w:r w:rsidR="00034FD5">
        <w:rPr>
          <w:rFonts w:ascii="Cambria" w:hAnsi="Cambria" w:cs="Baghdad"/>
          <w:bCs/>
        </w:rPr>
        <w:t xml:space="preserve"> publicado un nuevo informe analizando las tendencias de inversión existentes en el sector agr</w:t>
      </w:r>
      <w:r w:rsidR="00105FDD">
        <w:rPr>
          <w:rFonts w:ascii="Cambria" w:hAnsi="Cambria" w:cs="Baghdad"/>
          <w:bCs/>
        </w:rPr>
        <w:t>oalimentario</w:t>
      </w:r>
      <w:r w:rsidR="00034FD5">
        <w:rPr>
          <w:rFonts w:ascii="Cambria" w:hAnsi="Cambria" w:cs="Baghdad"/>
          <w:bCs/>
        </w:rPr>
        <w:t>, cuya principal conclusión es que cuenta con un gran potencial de crecimiento en Europa, siguiendo la estela marcada por Estados Unidos.</w:t>
      </w:r>
    </w:p>
    <w:p w14:paraId="36096392" w14:textId="213DB39B" w:rsidR="00034FD5" w:rsidRDefault="00034FD5" w:rsidP="005A548A">
      <w:pPr>
        <w:spacing w:line="276" w:lineRule="auto"/>
        <w:jc w:val="both"/>
        <w:rPr>
          <w:rFonts w:ascii="Cambria" w:hAnsi="Cambria" w:cs="Baghdad"/>
          <w:bCs/>
        </w:rPr>
      </w:pPr>
    </w:p>
    <w:p w14:paraId="2C2BAFC6" w14:textId="1A6DA148" w:rsidR="00034FD5" w:rsidRDefault="00034FD5" w:rsidP="005A548A">
      <w:pPr>
        <w:spacing w:line="276" w:lineRule="auto"/>
        <w:jc w:val="both"/>
        <w:rPr>
          <w:rFonts w:ascii="Cambria" w:hAnsi="Cambria" w:cs="Baghdad"/>
          <w:bCs/>
        </w:rPr>
      </w:pPr>
      <w:r>
        <w:rPr>
          <w:rFonts w:ascii="Cambria" w:hAnsi="Cambria" w:cs="Baghdad"/>
          <w:bCs/>
        </w:rPr>
        <w:t xml:space="preserve">Según el estudio de la consultora, en los últimos años los fondos de inversión han comenzado a apostar con firmeza en Europa por este tipo de activo, que ha dejado de ser un elemento residual de las carteras más conservadoras a convertirse en </w:t>
      </w:r>
      <w:r w:rsidR="00E4244C">
        <w:rPr>
          <w:rFonts w:ascii="Cambria" w:hAnsi="Cambria" w:cs="Baghdad"/>
          <w:bCs/>
        </w:rPr>
        <w:t>un activo a considerar a la hora</w:t>
      </w:r>
      <w:r>
        <w:rPr>
          <w:rFonts w:ascii="Cambria" w:hAnsi="Cambria" w:cs="Baghdad"/>
          <w:bCs/>
        </w:rPr>
        <w:t xml:space="preserve"> obtener rentabilidad. Además, en el documento se señala que, aunque la tendencia ya se había detectado, sobre todo en el continente americano con inversiones de grandes magnates como Bill Gates (Microsoft), Jeff Bezos (Amazon) o Ted Turner (CNN) entre otros, recientemente esta evolución se ha extendido a Europa. </w:t>
      </w:r>
    </w:p>
    <w:p w14:paraId="44A5E2E7" w14:textId="2AFE997A" w:rsidR="00417ADC" w:rsidRDefault="00417ADC" w:rsidP="005A548A">
      <w:pPr>
        <w:spacing w:line="276" w:lineRule="auto"/>
        <w:jc w:val="both"/>
        <w:rPr>
          <w:rFonts w:ascii="Cambria" w:hAnsi="Cambria" w:cs="Baghdad"/>
          <w:bCs/>
        </w:rPr>
      </w:pPr>
    </w:p>
    <w:p w14:paraId="7163D2EE" w14:textId="5C96EFFB" w:rsidR="00417ADC" w:rsidRDefault="00417ADC" w:rsidP="00417ADC">
      <w:pPr>
        <w:spacing w:line="276" w:lineRule="auto"/>
        <w:jc w:val="both"/>
        <w:rPr>
          <w:rFonts w:ascii="Cambria" w:hAnsi="Cambria" w:cs="Baghdad"/>
          <w:bCs/>
        </w:rPr>
      </w:pPr>
      <w:r>
        <w:rPr>
          <w:rFonts w:ascii="Cambria" w:hAnsi="Cambria" w:cs="Baghdad"/>
          <w:bCs/>
        </w:rPr>
        <w:t xml:space="preserve">El principal motivo, según señala el informe de </w:t>
      </w:r>
      <w:proofErr w:type="spellStart"/>
      <w:r>
        <w:rPr>
          <w:rFonts w:ascii="Cambria" w:hAnsi="Cambria" w:cs="Baghdad"/>
          <w:bCs/>
        </w:rPr>
        <w:t>Gesvalt</w:t>
      </w:r>
      <w:proofErr w:type="spellEnd"/>
      <w:r>
        <w:rPr>
          <w:rFonts w:ascii="Cambria" w:hAnsi="Cambria" w:cs="Baghdad"/>
          <w:bCs/>
        </w:rPr>
        <w:t xml:space="preserve">, es la previsión de crecimiento poblacional mundial y las consiguientes necesidades de alimentación. De acuerdo a datos de la ONU, el número </w:t>
      </w:r>
      <w:r w:rsidR="00F15D1E">
        <w:rPr>
          <w:rFonts w:ascii="Cambria" w:hAnsi="Cambria" w:cs="Baghdad"/>
          <w:bCs/>
        </w:rPr>
        <w:t xml:space="preserve">global </w:t>
      </w:r>
      <w:r>
        <w:rPr>
          <w:rFonts w:ascii="Cambria" w:hAnsi="Cambria" w:cs="Baghdad"/>
          <w:bCs/>
        </w:rPr>
        <w:t>de personas global</w:t>
      </w:r>
      <w:r w:rsidR="00E82873">
        <w:rPr>
          <w:rFonts w:ascii="Cambria" w:hAnsi="Cambria" w:cs="Baghdad"/>
          <w:bCs/>
        </w:rPr>
        <w:t xml:space="preserve"> superará</w:t>
      </w:r>
      <w:r>
        <w:rPr>
          <w:rFonts w:ascii="Cambria" w:hAnsi="Cambria" w:cs="Baghdad"/>
          <w:bCs/>
        </w:rPr>
        <w:t xml:space="preserve"> los diez mil millones en 2050, lo que conllevaría haber multiplicado por cuatro su número en un siglo. De hecho, </w:t>
      </w:r>
      <w:r w:rsidR="00D53BB0">
        <w:rPr>
          <w:rFonts w:ascii="Cambria" w:hAnsi="Cambria" w:cs="Baghdad"/>
          <w:bCs/>
        </w:rPr>
        <w:t>s</w:t>
      </w:r>
      <w:r w:rsidRPr="00417ADC">
        <w:rPr>
          <w:rFonts w:ascii="Cambria" w:hAnsi="Cambria" w:cs="Baghdad"/>
          <w:bCs/>
        </w:rPr>
        <w:t>olo en los próximos 10 años se espera</w:t>
      </w:r>
      <w:r>
        <w:rPr>
          <w:rFonts w:ascii="Cambria" w:hAnsi="Cambria" w:cs="Baghdad"/>
          <w:bCs/>
        </w:rPr>
        <w:t>, según la FAO,</w:t>
      </w:r>
      <w:r w:rsidRPr="00417ADC">
        <w:rPr>
          <w:rFonts w:ascii="Cambria" w:hAnsi="Cambria" w:cs="Baghdad"/>
          <w:bCs/>
        </w:rPr>
        <w:t xml:space="preserve"> un aumento en las necesidades de producción de entorno al 60%.</w:t>
      </w:r>
    </w:p>
    <w:p w14:paraId="0B32B3C5" w14:textId="332743B7" w:rsidR="00034FD5" w:rsidRDefault="00034FD5" w:rsidP="005A548A">
      <w:pPr>
        <w:spacing w:line="276" w:lineRule="auto"/>
        <w:jc w:val="both"/>
        <w:rPr>
          <w:rFonts w:ascii="Cambria" w:hAnsi="Cambria" w:cs="Baghdad"/>
          <w:bCs/>
        </w:rPr>
      </w:pPr>
    </w:p>
    <w:p w14:paraId="045D9156" w14:textId="7AD11800" w:rsidR="00034FD5" w:rsidRDefault="00034FD5" w:rsidP="005A548A">
      <w:pPr>
        <w:spacing w:line="276" w:lineRule="auto"/>
        <w:jc w:val="both"/>
        <w:rPr>
          <w:rFonts w:ascii="Cambria" w:hAnsi="Cambria" w:cs="Baghdad"/>
          <w:bCs/>
        </w:rPr>
      </w:pPr>
      <w:r>
        <w:rPr>
          <w:rFonts w:ascii="Cambria" w:hAnsi="Cambria" w:cs="Baghdad"/>
          <w:bCs/>
        </w:rPr>
        <w:t>Asimismo, el crecimiento del interés por estos activos se ha visto acentuado durante la pandemia. El interés general que representan los productos alimentarios</w:t>
      </w:r>
      <w:r w:rsidR="00417ADC">
        <w:rPr>
          <w:rFonts w:ascii="Cambria" w:hAnsi="Cambria" w:cs="Baghdad"/>
          <w:bCs/>
        </w:rPr>
        <w:t xml:space="preserve">, </w:t>
      </w:r>
      <w:r>
        <w:rPr>
          <w:rFonts w:ascii="Cambria" w:hAnsi="Cambria" w:cs="Baghdad"/>
          <w:bCs/>
        </w:rPr>
        <w:t>la necesidad manifiesta de inversión para su producción</w:t>
      </w:r>
      <w:r w:rsidR="00417ADC">
        <w:rPr>
          <w:rFonts w:ascii="Cambria" w:hAnsi="Cambria" w:cs="Baghdad"/>
          <w:bCs/>
        </w:rPr>
        <w:t xml:space="preserve"> y el complejo entorno financiero actual, con bajos tipos de inversión y escasas oportunidades que ofrezcan gran rentabilidad,</w:t>
      </w:r>
      <w:r>
        <w:rPr>
          <w:rFonts w:ascii="Cambria" w:hAnsi="Cambria" w:cs="Baghdad"/>
          <w:bCs/>
        </w:rPr>
        <w:t xml:space="preserve"> </w:t>
      </w:r>
      <w:r w:rsidR="00417ADC">
        <w:rPr>
          <w:rFonts w:ascii="Cambria" w:hAnsi="Cambria" w:cs="Baghdad"/>
          <w:bCs/>
        </w:rPr>
        <w:t>han incentivado todavía más la apuesta por este sector como un valor refugio, con una buena rentabilidad y resiliente a</w:t>
      </w:r>
      <w:r w:rsidR="00D53BB0">
        <w:rPr>
          <w:rFonts w:ascii="Cambria" w:hAnsi="Cambria" w:cs="Baghdad"/>
          <w:bCs/>
        </w:rPr>
        <w:t>nte</w:t>
      </w:r>
      <w:r w:rsidR="00417ADC">
        <w:rPr>
          <w:rFonts w:ascii="Cambria" w:hAnsi="Cambria" w:cs="Baghdad"/>
          <w:bCs/>
        </w:rPr>
        <w:t xml:space="preserve"> las crisis. </w:t>
      </w:r>
      <w:r>
        <w:rPr>
          <w:rFonts w:ascii="Cambria" w:hAnsi="Cambria" w:cs="Baghdad"/>
          <w:bCs/>
        </w:rPr>
        <w:t xml:space="preserve"> </w:t>
      </w:r>
    </w:p>
    <w:p w14:paraId="2B2207AA" w14:textId="538CDA1A" w:rsidR="00034FD5" w:rsidRDefault="00034FD5" w:rsidP="005A548A">
      <w:pPr>
        <w:spacing w:line="276" w:lineRule="auto"/>
        <w:jc w:val="both"/>
        <w:rPr>
          <w:rFonts w:ascii="Cambria" w:hAnsi="Cambria" w:cs="Baghdad"/>
          <w:bCs/>
        </w:rPr>
      </w:pPr>
    </w:p>
    <w:p w14:paraId="5D97ED03" w14:textId="15078B6B" w:rsidR="00034FD5" w:rsidRPr="00417ADC" w:rsidRDefault="00417ADC" w:rsidP="005A548A">
      <w:pPr>
        <w:spacing w:line="276" w:lineRule="auto"/>
        <w:jc w:val="both"/>
        <w:rPr>
          <w:rFonts w:ascii="Cambria" w:hAnsi="Cambria" w:cs="Baghdad"/>
          <w:b/>
        </w:rPr>
      </w:pPr>
      <w:r w:rsidRPr="00417ADC">
        <w:rPr>
          <w:rFonts w:ascii="Cambria" w:hAnsi="Cambria" w:cs="Baghdad"/>
          <w:b/>
        </w:rPr>
        <w:t>Caída moderada del precio de la tierra durante 2020</w:t>
      </w:r>
    </w:p>
    <w:p w14:paraId="7B49A98E" w14:textId="034DC6C5" w:rsidR="00094FCC" w:rsidRDefault="00094FCC" w:rsidP="00E51999">
      <w:pPr>
        <w:spacing w:line="276" w:lineRule="auto"/>
        <w:jc w:val="both"/>
        <w:rPr>
          <w:rFonts w:ascii="Cambria" w:hAnsi="Cambria" w:cs="Baghdad"/>
        </w:rPr>
      </w:pPr>
      <w:bookmarkStart w:id="1" w:name="_Hlk510432707"/>
    </w:p>
    <w:p w14:paraId="3EF9D47D" w14:textId="05C39821" w:rsidR="006076C7" w:rsidRDefault="006076C7" w:rsidP="00E51999">
      <w:pPr>
        <w:spacing w:line="276" w:lineRule="auto"/>
        <w:jc w:val="both"/>
        <w:rPr>
          <w:rFonts w:ascii="Cambria" w:hAnsi="Cambria" w:cs="Baghdad"/>
        </w:rPr>
      </w:pPr>
      <w:r>
        <w:rPr>
          <w:rFonts w:ascii="Cambria" w:hAnsi="Cambria" w:cs="Baghdad"/>
        </w:rPr>
        <w:t xml:space="preserve">El informe de </w:t>
      </w:r>
      <w:proofErr w:type="spellStart"/>
      <w:r>
        <w:rPr>
          <w:rFonts w:ascii="Cambria" w:hAnsi="Cambria" w:cs="Baghdad"/>
        </w:rPr>
        <w:t>Gesvalt</w:t>
      </w:r>
      <w:proofErr w:type="spellEnd"/>
      <w:r>
        <w:rPr>
          <w:rFonts w:ascii="Cambria" w:hAnsi="Cambria" w:cs="Baghdad"/>
        </w:rPr>
        <w:t xml:space="preserve"> también analiza la evolución que ha tenido el sector agroalimentario durante el año 2020. Una de las principales conclusiones es que, a pesar de</w:t>
      </w:r>
      <w:r w:rsidR="00F15D1E">
        <w:rPr>
          <w:rFonts w:ascii="Cambria" w:hAnsi="Cambria" w:cs="Baghdad"/>
        </w:rPr>
        <w:t xml:space="preserve"> ser un sector esencial</w:t>
      </w:r>
      <w:r>
        <w:rPr>
          <w:rFonts w:ascii="Cambria" w:hAnsi="Cambria" w:cs="Baghdad"/>
        </w:rPr>
        <w:t xml:space="preserve">, las limitaciones a las exportaciones, que son el </w:t>
      </w:r>
      <w:r w:rsidR="00F15D1E">
        <w:rPr>
          <w:rFonts w:ascii="Cambria" w:hAnsi="Cambria" w:cs="Baghdad"/>
        </w:rPr>
        <w:t>destino</w:t>
      </w:r>
      <w:r>
        <w:rPr>
          <w:rFonts w:ascii="Cambria" w:hAnsi="Cambria" w:cs="Baghdad"/>
        </w:rPr>
        <w:t xml:space="preserve"> del 70% de la producción española, han supuesto una gran volatilidad y ha implicado caídas interanuales para la m</w:t>
      </w:r>
      <w:r w:rsidR="00F15D1E">
        <w:rPr>
          <w:rFonts w:ascii="Cambria" w:hAnsi="Cambria" w:cs="Baghdad"/>
        </w:rPr>
        <w:t xml:space="preserve">ayoría de los </w:t>
      </w:r>
      <w:r>
        <w:rPr>
          <w:rFonts w:ascii="Cambria" w:hAnsi="Cambria" w:cs="Baghdad"/>
        </w:rPr>
        <w:t>productos</w:t>
      </w:r>
      <w:r w:rsidR="00F15D1E">
        <w:rPr>
          <w:rFonts w:ascii="Cambria" w:hAnsi="Cambria" w:cs="Baghdad"/>
        </w:rPr>
        <w:t xml:space="preserve"> agroalimentarios</w:t>
      </w:r>
      <w:r>
        <w:rPr>
          <w:rFonts w:ascii="Cambria" w:hAnsi="Cambria" w:cs="Baghdad"/>
        </w:rPr>
        <w:t xml:space="preserve">. </w:t>
      </w:r>
    </w:p>
    <w:p w14:paraId="6CB69263" w14:textId="331AD3BB" w:rsidR="006076C7" w:rsidRDefault="006076C7" w:rsidP="00E51999">
      <w:pPr>
        <w:spacing w:line="276" w:lineRule="auto"/>
        <w:jc w:val="both"/>
        <w:rPr>
          <w:rFonts w:ascii="Cambria" w:hAnsi="Cambria" w:cs="Baghdad"/>
        </w:rPr>
      </w:pPr>
    </w:p>
    <w:p w14:paraId="273978D6" w14:textId="2C5DA318" w:rsidR="006076C7" w:rsidRDefault="006076C7" w:rsidP="00E51999">
      <w:pPr>
        <w:spacing w:line="276" w:lineRule="auto"/>
        <w:jc w:val="both"/>
        <w:rPr>
          <w:rFonts w:ascii="Cambria" w:hAnsi="Cambria" w:cs="Baghdad"/>
        </w:rPr>
      </w:pPr>
      <w:r>
        <w:rPr>
          <w:rFonts w:ascii="Cambria" w:hAnsi="Cambria" w:cs="Baghdad"/>
        </w:rPr>
        <w:t xml:space="preserve">Asimismo, desde la consultora señalan que en 2020 se </w:t>
      </w:r>
      <w:r w:rsidR="00F15D1E">
        <w:rPr>
          <w:rFonts w:ascii="Cambria" w:hAnsi="Cambria" w:cs="Baghdad"/>
        </w:rPr>
        <w:t xml:space="preserve">experimentó un importante </w:t>
      </w:r>
      <w:r>
        <w:rPr>
          <w:rFonts w:ascii="Cambria" w:hAnsi="Cambria" w:cs="Baghdad"/>
        </w:rPr>
        <w:t>increment</w:t>
      </w:r>
      <w:r w:rsidR="00F15D1E">
        <w:rPr>
          <w:rFonts w:ascii="Cambria" w:hAnsi="Cambria" w:cs="Baghdad"/>
        </w:rPr>
        <w:t>o</w:t>
      </w:r>
      <w:r>
        <w:rPr>
          <w:rFonts w:ascii="Cambria" w:hAnsi="Cambria" w:cs="Baghdad"/>
        </w:rPr>
        <w:t xml:space="preserve"> </w:t>
      </w:r>
      <w:r w:rsidR="00F15D1E">
        <w:rPr>
          <w:rFonts w:ascii="Cambria" w:hAnsi="Cambria" w:cs="Baghdad"/>
        </w:rPr>
        <w:t>de</w:t>
      </w:r>
      <w:r>
        <w:rPr>
          <w:rFonts w:ascii="Cambria" w:hAnsi="Cambria" w:cs="Baghdad"/>
        </w:rPr>
        <w:t xml:space="preserve"> la diferencia </w:t>
      </w:r>
      <w:r w:rsidRPr="006076C7">
        <w:rPr>
          <w:rFonts w:ascii="Cambria" w:hAnsi="Cambria" w:cs="Baghdad"/>
        </w:rPr>
        <w:t xml:space="preserve">de precios del producto en origen y del producto </w:t>
      </w:r>
      <w:r w:rsidR="00F15D1E">
        <w:rPr>
          <w:rFonts w:ascii="Cambria" w:hAnsi="Cambria" w:cs="Baghdad"/>
        </w:rPr>
        <w:t xml:space="preserve">para </w:t>
      </w:r>
      <w:r w:rsidRPr="006076C7">
        <w:rPr>
          <w:rFonts w:ascii="Cambria" w:hAnsi="Cambria" w:cs="Baghdad"/>
        </w:rPr>
        <w:t>el consumidor final</w:t>
      </w:r>
      <w:r>
        <w:rPr>
          <w:rFonts w:ascii="Cambria" w:hAnsi="Cambria" w:cs="Baghdad"/>
        </w:rPr>
        <w:t>,</w:t>
      </w:r>
      <w:r w:rsidRPr="006076C7">
        <w:rPr>
          <w:rFonts w:ascii="Cambria" w:hAnsi="Cambria" w:cs="Baghdad"/>
        </w:rPr>
        <w:t xml:space="preserve"> </w:t>
      </w:r>
      <w:r>
        <w:rPr>
          <w:rFonts w:ascii="Cambria" w:hAnsi="Cambria" w:cs="Baghdad"/>
        </w:rPr>
        <w:t>alcanzando</w:t>
      </w:r>
      <w:r w:rsidRPr="006076C7">
        <w:rPr>
          <w:rFonts w:ascii="Cambria" w:hAnsi="Cambria" w:cs="Baghdad"/>
        </w:rPr>
        <w:t xml:space="preserve"> el 550% para los productos ganaderos y de más de un 300% en los productos agrarios.</w:t>
      </w:r>
      <w:r>
        <w:rPr>
          <w:rFonts w:ascii="Cambria" w:hAnsi="Cambria" w:cs="Baghdad"/>
        </w:rPr>
        <w:t xml:space="preserve"> Esto ha implicado un freno </w:t>
      </w:r>
      <w:r w:rsidR="00F15D1E">
        <w:rPr>
          <w:rFonts w:ascii="Cambria" w:hAnsi="Cambria" w:cs="Baghdad"/>
        </w:rPr>
        <w:t>del</w:t>
      </w:r>
      <w:r>
        <w:rPr>
          <w:rFonts w:ascii="Cambria" w:hAnsi="Cambria" w:cs="Baghdad"/>
        </w:rPr>
        <w:t xml:space="preserve"> interés por la compra de la tierra agraria, puesto que muchos cultivos, como la patata o el </w:t>
      </w:r>
      <w:r w:rsidR="00D53BB0">
        <w:rPr>
          <w:rFonts w:ascii="Cambria" w:hAnsi="Cambria" w:cs="Baghdad"/>
        </w:rPr>
        <w:t>brócoli</w:t>
      </w:r>
      <w:r>
        <w:rPr>
          <w:rFonts w:ascii="Cambria" w:hAnsi="Cambria" w:cs="Baghdad"/>
        </w:rPr>
        <w:t xml:space="preserve">, han </w:t>
      </w:r>
      <w:r w:rsidR="00F15D1E">
        <w:rPr>
          <w:rFonts w:ascii="Cambria" w:hAnsi="Cambria" w:cs="Baghdad"/>
        </w:rPr>
        <w:t xml:space="preserve">experimentado costes de </w:t>
      </w:r>
      <w:r>
        <w:rPr>
          <w:rFonts w:ascii="Cambria" w:hAnsi="Cambria" w:cs="Baghdad"/>
        </w:rPr>
        <w:t>produc</w:t>
      </w:r>
      <w:r w:rsidR="00F15D1E">
        <w:rPr>
          <w:rFonts w:ascii="Cambria" w:hAnsi="Cambria" w:cs="Baghdad"/>
        </w:rPr>
        <w:t xml:space="preserve">ción </w:t>
      </w:r>
      <w:r>
        <w:rPr>
          <w:rFonts w:ascii="Cambria" w:hAnsi="Cambria" w:cs="Baghdad"/>
        </w:rPr>
        <w:t xml:space="preserve">superiores a los ingresos derivados de su venta. </w:t>
      </w:r>
    </w:p>
    <w:p w14:paraId="03230E90" w14:textId="72F2583E" w:rsidR="006076C7" w:rsidRDefault="006076C7" w:rsidP="00E51999">
      <w:pPr>
        <w:spacing w:line="276" w:lineRule="auto"/>
        <w:jc w:val="both"/>
        <w:rPr>
          <w:rFonts w:ascii="Cambria" w:hAnsi="Cambria" w:cs="Baghdad"/>
        </w:rPr>
      </w:pPr>
    </w:p>
    <w:p w14:paraId="2F56E769" w14:textId="64A3F2AC" w:rsidR="00CD69EA" w:rsidRDefault="006076C7" w:rsidP="00E51999">
      <w:pPr>
        <w:spacing w:line="276" w:lineRule="auto"/>
        <w:jc w:val="both"/>
        <w:rPr>
          <w:rFonts w:ascii="Cambria" w:hAnsi="Cambria" w:cs="Baghdad"/>
        </w:rPr>
      </w:pPr>
      <w:r>
        <w:rPr>
          <w:rFonts w:ascii="Cambria" w:hAnsi="Cambria" w:cs="Baghdad"/>
        </w:rPr>
        <w:t xml:space="preserve">En definitiva, en 2020 el mercado de la tierra registró una caída de precio del 0,9% en términos nominales y un -1,4% en términos reales, teniendo en cuenta la deflación anual del </w:t>
      </w:r>
      <w:r w:rsidR="00CD69EA">
        <w:rPr>
          <w:rFonts w:ascii="Cambria" w:hAnsi="Cambria" w:cs="Baghdad"/>
        </w:rPr>
        <w:t xml:space="preserve">-0,5%. De la misma forma, el número de operaciones de compraventa cayó hasta mínimos similares a los años 2010 y 2011. En 2021, los expertos de </w:t>
      </w:r>
      <w:proofErr w:type="spellStart"/>
      <w:r w:rsidR="00CD69EA">
        <w:rPr>
          <w:rFonts w:ascii="Cambria" w:hAnsi="Cambria" w:cs="Baghdad"/>
        </w:rPr>
        <w:t>Gesvalt</w:t>
      </w:r>
      <w:proofErr w:type="spellEnd"/>
      <w:r w:rsidR="00CD69EA">
        <w:rPr>
          <w:rFonts w:ascii="Cambria" w:hAnsi="Cambria" w:cs="Baghdad"/>
        </w:rPr>
        <w:t xml:space="preserve"> estiman que se mantendrá la tendencia del primer trimestre del año anterior, con un enfriamiento de precios e hibernación en las compraventas, aunque con un comportamiento general positivo, impulsadas por la reactivación de las exportaciones. Sin embargo, no será hasta el último trimestre cuando se puedan extraer conclusiones sólidas sobre su comportamiento. </w:t>
      </w:r>
    </w:p>
    <w:p w14:paraId="00A1A36E" w14:textId="54075880" w:rsidR="00550E46" w:rsidRDefault="00550E46" w:rsidP="00E51999">
      <w:pPr>
        <w:spacing w:line="276" w:lineRule="auto"/>
        <w:jc w:val="both"/>
        <w:rPr>
          <w:rFonts w:ascii="Cambria" w:hAnsi="Cambria" w:cs="Baghdad"/>
        </w:rPr>
      </w:pPr>
    </w:p>
    <w:p w14:paraId="38DB006A" w14:textId="7E40A084" w:rsidR="00550E46" w:rsidRDefault="00550E46" w:rsidP="00E51999">
      <w:pPr>
        <w:spacing w:line="276" w:lineRule="auto"/>
        <w:jc w:val="both"/>
        <w:rPr>
          <w:rFonts w:ascii="Cambria" w:hAnsi="Cambria" w:cs="Baghdad"/>
        </w:rPr>
      </w:pPr>
      <w:r>
        <w:rPr>
          <w:rFonts w:ascii="Cambria" w:hAnsi="Cambria" w:cs="Baghdad"/>
        </w:rPr>
        <w:t xml:space="preserve">Sin embargo, la evolución de este sector no ha sido homogénea para todos los cultivos, </w:t>
      </w:r>
      <w:r w:rsidR="00B74DD7">
        <w:rPr>
          <w:rFonts w:ascii="Cambria" w:hAnsi="Cambria" w:cs="Baghdad"/>
        </w:rPr>
        <w:t xml:space="preserve">ni tipos de tierras, </w:t>
      </w:r>
      <w:r>
        <w:rPr>
          <w:rFonts w:ascii="Cambria" w:hAnsi="Cambria" w:cs="Baghdad"/>
        </w:rPr>
        <w:t xml:space="preserve">sino que </w:t>
      </w:r>
      <w:r w:rsidR="00B74DD7">
        <w:rPr>
          <w:rFonts w:ascii="Cambria" w:hAnsi="Cambria" w:cs="Baghdad"/>
        </w:rPr>
        <w:t>también hay casos en los que se</w:t>
      </w:r>
      <w:r>
        <w:rPr>
          <w:rFonts w:ascii="Cambria" w:hAnsi="Cambria" w:cs="Baghdad"/>
        </w:rPr>
        <w:t xml:space="preserve"> han </w:t>
      </w:r>
      <w:r w:rsidR="00F15D1E">
        <w:rPr>
          <w:rFonts w:ascii="Cambria" w:hAnsi="Cambria" w:cs="Baghdad"/>
        </w:rPr>
        <w:t>registrado</w:t>
      </w:r>
      <w:r>
        <w:rPr>
          <w:rFonts w:ascii="Cambria" w:hAnsi="Cambria" w:cs="Baghdad"/>
        </w:rPr>
        <w:t xml:space="preserve"> cifras más positivas. </w:t>
      </w:r>
      <w:r w:rsidR="00B74DD7">
        <w:rPr>
          <w:rFonts w:ascii="Cambria" w:hAnsi="Cambria" w:cs="Baghdad"/>
        </w:rPr>
        <w:t>Como ejemplo,</w:t>
      </w:r>
      <w:r>
        <w:rPr>
          <w:rFonts w:ascii="Cambria" w:hAnsi="Cambria" w:cs="Baghdad"/>
        </w:rPr>
        <w:t xml:space="preserve"> </w:t>
      </w:r>
      <w:r w:rsidR="00B74DD7">
        <w:rPr>
          <w:rFonts w:ascii="Cambria" w:hAnsi="Cambria" w:cs="Baghdad"/>
        </w:rPr>
        <w:t xml:space="preserve">las tierras de </w:t>
      </w:r>
      <w:r>
        <w:rPr>
          <w:rFonts w:ascii="Cambria" w:hAnsi="Cambria" w:cs="Baghdad"/>
        </w:rPr>
        <w:t>regadío, que durante el año 2020 apenas sufrieron fluctuaciones en sus valores</w:t>
      </w:r>
      <w:r w:rsidR="00B74DD7">
        <w:rPr>
          <w:rFonts w:ascii="Cambria" w:hAnsi="Cambria" w:cs="Baghdad"/>
        </w:rPr>
        <w:t>, experimentaron</w:t>
      </w:r>
      <w:r>
        <w:rPr>
          <w:rFonts w:ascii="Cambria" w:hAnsi="Cambria" w:cs="Baghdad"/>
        </w:rPr>
        <w:t xml:space="preserve"> un incremento </w:t>
      </w:r>
      <w:r w:rsidR="00B74DD7">
        <w:rPr>
          <w:rFonts w:ascii="Cambria" w:hAnsi="Cambria" w:cs="Baghdad"/>
        </w:rPr>
        <w:t xml:space="preserve">de valor, con carácter nacional, </w:t>
      </w:r>
      <w:r>
        <w:rPr>
          <w:rFonts w:ascii="Cambria" w:hAnsi="Cambria" w:cs="Baghdad"/>
        </w:rPr>
        <w:t xml:space="preserve">del 1,4%. Además, el informe de </w:t>
      </w:r>
      <w:proofErr w:type="spellStart"/>
      <w:r>
        <w:rPr>
          <w:rFonts w:ascii="Cambria" w:hAnsi="Cambria" w:cs="Baghdad"/>
        </w:rPr>
        <w:t>Gesvalt</w:t>
      </w:r>
      <w:proofErr w:type="spellEnd"/>
      <w:r>
        <w:rPr>
          <w:rFonts w:ascii="Cambria" w:hAnsi="Cambria" w:cs="Baghdad"/>
        </w:rPr>
        <w:t xml:space="preserve"> también señala una característica general de este tipo de cultivos: el ascenso fue superior en aquellas </w:t>
      </w:r>
      <w:r w:rsidRPr="00550E46">
        <w:rPr>
          <w:rFonts w:ascii="Cambria" w:hAnsi="Cambria" w:cs="Baghdad"/>
        </w:rPr>
        <w:lastRenderedPageBreak/>
        <w:t>Comunidades donde los precios de sus regadíos partían de un mayor valor</w:t>
      </w:r>
      <w:r w:rsidR="00AC07CE">
        <w:rPr>
          <w:rFonts w:ascii="Cambria" w:hAnsi="Cambria" w:cs="Baghdad"/>
        </w:rPr>
        <w:t xml:space="preserve"> </w:t>
      </w:r>
      <w:r w:rsidR="00AC07CE" w:rsidRPr="00AC07CE">
        <w:rPr>
          <w:rFonts w:ascii="Cambria" w:hAnsi="Cambria" w:cs="Baghdad"/>
        </w:rPr>
        <w:t>(Andalucía, La Rioja, Baleares y Madrid</w:t>
      </w:r>
      <w:r w:rsidR="00AC07CE">
        <w:rPr>
          <w:rFonts w:ascii="Cambria" w:hAnsi="Cambria" w:cs="Baghdad"/>
        </w:rPr>
        <w:t xml:space="preserve">). </w:t>
      </w:r>
    </w:p>
    <w:p w14:paraId="5F53B6E6" w14:textId="77777777" w:rsidR="00CD69EA" w:rsidRDefault="00CD69EA" w:rsidP="00E51999">
      <w:pPr>
        <w:spacing w:line="276" w:lineRule="auto"/>
        <w:jc w:val="both"/>
        <w:rPr>
          <w:rFonts w:ascii="Cambria" w:hAnsi="Cambria" w:cs="Baghdad"/>
        </w:rPr>
      </w:pPr>
    </w:p>
    <w:p w14:paraId="563029A0" w14:textId="0795EA74" w:rsidR="006076C7" w:rsidRDefault="00CD69EA" w:rsidP="00E51999">
      <w:pPr>
        <w:spacing w:line="276" w:lineRule="auto"/>
        <w:jc w:val="both"/>
        <w:rPr>
          <w:rFonts w:ascii="Cambria" w:hAnsi="Cambria" w:cs="Baghdad"/>
        </w:rPr>
      </w:pPr>
      <w:r>
        <w:rPr>
          <w:rFonts w:ascii="Cambria" w:hAnsi="Cambria" w:cs="Baghdad"/>
        </w:rPr>
        <w:t>En este contexto, el informe advierte</w:t>
      </w:r>
      <w:r w:rsidR="00D53BB0">
        <w:rPr>
          <w:rFonts w:ascii="Cambria" w:hAnsi="Cambria" w:cs="Baghdad"/>
        </w:rPr>
        <w:t xml:space="preserve"> de</w:t>
      </w:r>
      <w:r>
        <w:rPr>
          <w:rFonts w:ascii="Cambria" w:hAnsi="Cambria" w:cs="Baghdad"/>
        </w:rPr>
        <w:t xml:space="preserve"> que está creciendo el interés de los fondos de capital riesgo, lo que también podría alterar las perspectivas en el medio plazo. </w:t>
      </w:r>
    </w:p>
    <w:p w14:paraId="431309B5" w14:textId="09FFC451" w:rsidR="006076C7" w:rsidRDefault="006076C7" w:rsidP="00E51999">
      <w:pPr>
        <w:spacing w:line="276" w:lineRule="auto"/>
        <w:jc w:val="both"/>
        <w:rPr>
          <w:rFonts w:ascii="Cambria" w:hAnsi="Cambria" w:cs="Baghdad"/>
        </w:rPr>
      </w:pPr>
    </w:p>
    <w:p w14:paraId="229A39E6" w14:textId="77777777" w:rsidR="003F5994" w:rsidRDefault="003F5994" w:rsidP="003F5994">
      <w:pPr>
        <w:rPr>
          <w:rFonts w:ascii="Cambria" w:hAnsi="Cambria" w:cs="Baghdad"/>
        </w:rPr>
      </w:pPr>
    </w:p>
    <w:p w14:paraId="4908ED9D" w14:textId="0AFCE2EC" w:rsidR="003F5994" w:rsidRDefault="003F5994" w:rsidP="003F5994">
      <w:pPr>
        <w:rPr>
          <w:sz w:val="22"/>
          <w:szCs w:val="22"/>
        </w:rPr>
      </w:pPr>
      <w:r w:rsidRPr="003F5994">
        <w:rPr>
          <w:rFonts w:ascii="Cambria" w:hAnsi="Cambria" w:cs="Baghdad"/>
        </w:rPr>
        <w:t>Descarga el informe completo:</w:t>
      </w:r>
      <w:r w:rsidRPr="003F5994">
        <w:rPr>
          <w:rFonts w:ascii="Cambria" w:hAnsi="Cambria" w:cs="Baghdad"/>
          <w:b/>
          <w:bCs/>
        </w:rPr>
        <w:t xml:space="preserve"> </w:t>
      </w:r>
      <w:hyperlink r:id="rId9" w:history="1">
        <w:r>
          <w:rPr>
            <w:rStyle w:val="Hipervnculo"/>
            <w:sz w:val="22"/>
            <w:szCs w:val="22"/>
          </w:rPr>
          <w:t>https://gesvalt.es/informes/evolucion-suelos-agricolas-2021/</w:t>
        </w:r>
      </w:hyperlink>
    </w:p>
    <w:p w14:paraId="19ABA80F" w14:textId="76908A5B" w:rsidR="003F5994" w:rsidRDefault="003F5994" w:rsidP="00E51999">
      <w:pPr>
        <w:spacing w:line="276" w:lineRule="auto"/>
        <w:jc w:val="both"/>
        <w:rPr>
          <w:rFonts w:ascii="Cambria" w:hAnsi="Cambria" w:cs="Baghdad"/>
        </w:rPr>
      </w:pPr>
    </w:p>
    <w:p w14:paraId="3FB849C0" w14:textId="77777777" w:rsidR="00B6647C" w:rsidRPr="00F5662F" w:rsidRDefault="00B6647C" w:rsidP="00B6647C">
      <w:pPr>
        <w:autoSpaceDE w:val="0"/>
        <w:autoSpaceDN w:val="0"/>
        <w:adjustRightInd w:val="0"/>
        <w:spacing w:line="276" w:lineRule="auto"/>
        <w:jc w:val="both"/>
        <w:rPr>
          <w:rFonts w:ascii="Cambria" w:hAnsi="Cambria" w:cs="Baghdad"/>
        </w:rPr>
      </w:pPr>
    </w:p>
    <w:p w14:paraId="4BC26243" w14:textId="77777777" w:rsidR="00874910" w:rsidRDefault="000B0265" w:rsidP="000B0265">
      <w:pPr>
        <w:widowControl w:val="0"/>
        <w:autoSpaceDE w:val="0"/>
        <w:autoSpaceDN w:val="0"/>
        <w:adjustRightInd w:val="0"/>
        <w:spacing w:after="240" w:line="300" w:lineRule="atLeast"/>
        <w:jc w:val="both"/>
        <w:rPr>
          <w:rFonts w:ascii="Cambria" w:hAnsi="Cambria" w:cs="Baghdad"/>
          <w:b/>
          <w:bCs/>
          <w:sz w:val="22"/>
          <w:szCs w:val="22"/>
        </w:rPr>
      </w:pPr>
      <w:r>
        <w:rPr>
          <w:rFonts w:ascii="Cambria" w:hAnsi="Cambria" w:cs="Baghdad"/>
          <w:b/>
          <w:bCs/>
          <w:sz w:val="22"/>
          <w:szCs w:val="22"/>
        </w:rPr>
        <w:t xml:space="preserve">Acerca de </w:t>
      </w:r>
      <w:proofErr w:type="spellStart"/>
      <w:r>
        <w:rPr>
          <w:rFonts w:ascii="Cambria" w:hAnsi="Cambria" w:cs="Baghdad"/>
          <w:b/>
          <w:bCs/>
          <w:sz w:val="22"/>
          <w:szCs w:val="22"/>
        </w:rPr>
        <w:t>Gesvalt</w:t>
      </w:r>
      <w:proofErr w:type="spellEnd"/>
    </w:p>
    <w:p w14:paraId="2F5BE464" w14:textId="2493A771" w:rsidR="000B0265" w:rsidRDefault="000B0265" w:rsidP="000B0265">
      <w:pPr>
        <w:widowControl w:val="0"/>
        <w:autoSpaceDE w:val="0"/>
        <w:autoSpaceDN w:val="0"/>
        <w:adjustRightInd w:val="0"/>
        <w:spacing w:after="240" w:line="300" w:lineRule="atLeast"/>
        <w:jc w:val="both"/>
        <w:rPr>
          <w:rFonts w:ascii="Cambria" w:hAnsi="Cambria" w:cs="Baghdad"/>
          <w:sz w:val="22"/>
          <w:szCs w:val="22"/>
        </w:rPr>
      </w:pPr>
      <w:proofErr w:type="spellStart"/>
      <w:r>
        <w:rPr>
          <w:rFonts w:ascii="Cambria" w:hAnsi="Cambria" w:cs="Baghdad"/>
          <w:color w:val="0000FF"/>
          <w:sz w:val="22"/>
          <w:szCs w:val="22"/>
        </w:rPr>
        <w:t>Gesvalt</w:t>
      </w:r>
      <w:proofErr w:type="spellEnd"/>
      <w:r>
        <w:rPr>
          <w:rFonts w:ascii="Cambria" w:hAnsi="Cambria" w:cs="Baghdad"/>
          <w:color w:val="0000FF"/>
          <w:sz w:val="22"/>
          <w:szCs w:val="22"/>
        </w:rPr>
        <w:t xml:space="preserve"> </w:t>
      </w:r>
      <w:r>
        <w:rPr>
          <w:rFonts w:ascii="Cambria" w:hAnsi="Cambria" w:cs="Baghdad"/>
          <w:sz w:val="22"/>
          <w:szCs w:val="22"/>
        </w:rPr>
        <w:t xml:space="preserve">es una compañía de referencia en el sector de la consultoría, valoración y actuaciones técnicas. Su experiencia de más de 20 años, un equipo de profesionales altamente cualificados y el firme compromiso por ofrecer un servicio de máxima calidad, son las claves para convertirse en socios estratégicos de las principales compañías privadas y entidades públicas. </w:t>
      </w:r>
    </w:p>
    <w:p w14:paraId="1BA46FF2" w14:textId="56E21D11" w:rsidR="007A2443" w:rsidRDefault="000B0265" w:rsidP="00ED7D92">
      <w:pPr>
        <w:widowControl w:val="0"/>
        <w:autoSpaceDE w:val="0"/>
        <w:autoSpaceDN w:val="0"/>
        <w:adjustRightInd w:val="0"/>
        <w:spacing w:after="240" w:line="276" w:lineRule="auto"/>
        <w:jc w:val="both"/>
        <w:rPr>
          <w:rFonts w:ascii="Cambria" w:hAnsi="Cambria" w:cs="Baghdad"/>
          <w:sz w:val="22"/>
          <w:szCs w:val="22"/>
        </w:rPr>
      </w:pPr>
      <w:r>
        <w:rPr>
          <w:rFonts w:ascii="Cambria" w:hAnsi="Cambria" w:cs="Baghdad"/>
          <w:sz w:val="22"/>
          <w:szCs w:val="22"/>
        </w:rPr>
        <w:t>Cuenta con gran implantación de oficinas en España, Portugal y Colombia. La firma forma parte también de la red internacional VRG que le permite operar en los principales países del mundo</w:t>
      </w:r>
    </w:p>
    <w:p w14:paraId="35ED0FEC" w14:textId="5951367E" w:rsidR="000B0265" w:rsidRDefault="000B0265" w:rsidP="000B0265">
      <w:pPr>
        <w:widowControl w:val="0"/>
        <w:autoSpaceDE w:val="0"/>
        <w:autoSpaceDN w:val="0"/>
        <w:adjustRightInd w:val="0"/>
        <w:spacing w:after="240" w:line="300" w:lineRule="atLeast"/>
        <w:jc w:val="both"/>
        <w:rPr>
          <w:rFonts w:ascii="Cambria" w:hAnsi="Cambria" w:cs="Baghdad"/>
          <w:sz w:val="22"/>
          <w:szCs w:val="22"/>
        </w:rPr>
      </w:pPr>
      <w:r>
        <w:rPr>
          <w:rFonts w:ascii="Cambria" w:hAnsi="Cambria" w:cs="Baghdad"/>
          <w:sz w:val="22"/>
          <w:szCs w:val="22"/>
        </w:rPr>
        <w:t xml:space="preserve">Puedes seguirnos en: </w:t>
      </w:r>
    </w:p>
    <w:p w14:paraId="6288924B" w14:textId="1F3937D4" w:rsidR="000B0265" w:rsidRDefault="000B0265" w:rsidP="000B0265">
      <w:pPr>
        <w:widowControl w:val="0"/>
        <w:autoSpaceDE w:val="0"/>
        <w:autoSpaceDN w:val="0"/>
        <w:adjustRightInd w:val="0"/>
        <w:spacing w:line="280" w:lineRule="atLeast"/>
        <w:rPr>
          <w:rFonts w:ascii="Cambria" w:hAnsi="Cambria" w:cs="Times"/>
          <w:sz w:val="22"/>
          <w:szCs w:val="22"/>
        </w:rPr>
      </w:pPr>
      <w:r>
        <w:rPr>
          <w:rFonts w:ascii="Cambria" w:hAnsi="Cambria" w:cs="Times"/>
          <w:noProof/>
          <w:sz w:val="22"/>
          <w:szCs w:val="22"/>
          <w:lang w:val="es-ES" w:eastAsia="es-ES"/>
        </w:rPr>
        <w:drawing>
          <wp:inline distT="0" distB="0" distL="0" distR="0" wp14:anchorId="7772890C" wp14:editId="67180308">
            <wp:extent cx="533400" cy="533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ascii="Cambria" w:hAnsi="Cambria" w:cs="Times"/>
          <w:sz w:val="22"/>
          <w:szCs w:val="22"/>
        </w:rPr>
        <w:t xml:space="preserve"> </w:t>
      </w:r>
      <w:r>
        <w:rPr>
          <w:rFonts w:ascii="Cambria" w:hAnsi="Cambria" w:cs="Times"/>
          <w:noProof/>
          <w:sz w:val="22"/>
          <w:szCs w:val="22"/>
          <w:lang w:val="es-ES" w:eastAsia="es-ES"/>
        </w:rPr>
        <w:drawing>
          <wp:inline distT="0" distB="0" distL="0" distR="0" wp14:anchorId="00008787" wp14:editId="17746F91">
            <wp:extent cx="466725" cy="485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485775"/>
                    </a:xfrm>
                    <a:prstGeom prst="rect">
                      <a:avLst/>
                    </a:prstGeom>
                    <a:noFill/>
                    <a:ln>
                      <a:noFill/>
                    </a:ln>
                  </pic:spPr>
                </pic:pic>
              </a:graphicData>
            </a:graphic>
          </wp:inline>
        </w:drawing>
      </w:r>
    </w:p>
    <w:p w14:paraId="2C6144FA" w14:textId="77777777" w:rsidR="000B0265" w:rsidRDefault="000B0265" w:rsidP="000B0265">
      <w:pPr>
        <w:widowControl w:val="0"/>
        <w:autoSpaceDE w:val="0"/>
        <w:autoSpaceDN w:val="0"/>
        <w:adjustRightInd w:val="0"/>
        <w:spacing w:line="280" w:lineRule="atLeast"/>
        <w:rPr>
          <w:rFonts w:ascii="Cambria" w:hAnsi="Cambria" w:cs="Times"/>
          <w:sz w:val="22"/>
          <w:szCs w:val="22"/>
        </w:rPr>
      </w:pPr>
    </w:p>
    <w:p w14:paraId="2A9FFCB8" w14:textId="77777777" w:rsidR="000B0265" w:rsidRDefault="000B0265" w:rsidP="000B0265">
      <w:pPr>
        <w:widowControl w:val="0"/>
        <w:autoSpaceDE w:val="0"/>
        <w:autoSpaceDN w:val="0"/>
        <w:adjustRightInd w:val="0"/>
        <w:spacing w:line="280" w:lineRule="atLeast"/>
        <w:rPr>
          <w:rFonts w:ascii="Cambria" w:hAnsi="Cambria" w:cs="Times"/>
          <w:sz w:val="22"/>
          <w:szCs w:val="22"/>
        </w:rPr>
      </w:pPr>
    </w:p>
    <w:p w14:paraId="56AEE6C6" w14:textId="77777777" w:rsidR="000B0265" w:rsidRDefault="000B0265" w:rsidP="000B0265">
      <w:pPr>
        <w:widowControl w:val="0"/>
        <w:autoSpaceDE w:val="0"/>
        <w:autoSpaceDN w:val="0"/>
        <w:adjustRightInd w:val="0"/>
        <w:spacing w:after="240" w:line="300" w:lineRule="atLeast"/>
        <w:rPr>
          <w:rFonts w:ascii="Cambria" w:hAnsi="Cambria" w:cs="Times"/>
          <w:sz w:val="22"/>
          <w:szCs w:val="22"/>
        </w:rPr>
      </w:pPr>
      <w:r>
        <w:rPr>
          <w:rFonts w:ascii="Cambria" w:hAnsi="Cambria" w:cs="Times"/>
          <w:b/>
          <w:bCs/>
          <w:sz w:val="22"/>
          <w:szCs w:val="22"/>
        </w:rPr>
        <w:t xml:space="preserve">Para más información: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B0265" w14:paraId="694E9290" w14:textId="77777777" w:rsidTr="000B0265">
        <w:tc>
          <w:tcPr>
            <w:tcW w:w="4414" w:type="dxa"/>
            <w:hideMark/>
          </w:tcPr>
          <w:p w14:paraId="0ED82229" w14:textId="77777777" w:rsidR="000B0265" w:rsidRDefault="000B0265">
            <w:pPr>
              <w:rPr>
                <w:rFonts w:ascii="Cambria" w:hAnsi="Cambria"/>
                <w:sz w:val="22"/>
                <w:szCs w:val="22"/>
              </w:rPr>
            </w:pPr>
            <w:r>
              <w:rPr>
                <w:rFonts w:ascii="Cambria" w:hAnsi="Cambria"/>
                <w:sz w:val="22"/>
                <w:szCs w:val="22"/>
              </w:rPr>
              <w:t xml:space="preserve">Ana de la Fuente </w:t>
            </w:r>
          </w:p>
          <w:p w14:paraId="14A32569" w14:textId="77777777" w:rsidR="000B0265" w:rsidRDefault="000B0265">
            <w:pPr>
              <w:rPr>
                <w:rFonts w:ascii="Cambria" w:hAnsi="Cambria"/>
                <w:sz w:val="22"/>
                <w:szCs w:val="22"/>
              </w:rPr>
            </w:pPr>
            <w:r>
              <w:rPr>
                <w:rFonts w:ascii="Cambria" w:hAnsi="Cambria"/>
                <w:sz w:val="22"/>
                <w:szCs w:val="22"/>
              </w:rPr>
              <w:t xml:space="preserve">Paseo de la Castellana, 141 </w:t>
            </w:r>
          </w:p>
          <w:p w14:paraId="51DEEE8E" w14:textId="77777777" w:rsidR="000B0265" w:rsidRDefault="000B0265">
            <w:pPr>
              <w:rPr>
                <w:rFonts w:ascii="Cambria" w:hAnsi="Cambria"/>
                <w:color w:val="0B4CB4"/>
                <w:sz w:val="22"/>
                <w:szCs w:val="22"/>
              </w:rPr>
            </w:pPr>
            <w:r>
              <w:rPr>
                <w:rFonts w:ascii="Cambria" w:hAnsi="Cambria"/>
                <w:sz w:val="22"/>
                <w:szCs w:val="22"/>
              </w:rPr>
              <w:t xml:space="preserve">28046 – Madrid </w:t>
            </w:r>
            <w:hyperlink r:id="rId12" w:history="1">
              <w:r>
                <w:rPr>
                  <w:rStyle w:val="Hipervnculo"/>
                  <w:rFonts w:ascii="Cambria" w:hAnsi="Cambria" w:cs="Times"/>
                  <w:sz w:val="22"/>
                  <w:szCs w:val="22"/>
                </w:rPr>
                <w:t>afuente@gesvalt.es</w:t>
              </w:r>
            </w:hyperlink>
            <w:r>
              <w:rPr>
                <w:rFonts w:ascii="Cambria" w:hAnsi="Cambria"/>
                <w:color w:val="0B4CB4"/>
                <w:sz w:val="22"/>
                <w:szCs w:val="22"/>
              </w:rPr>
              <w:t xml:space="preserve"> </w:t>
            </w:r>
          </w:p>
          <w:p w14:paraId="7072AD60" w14:textId="77777777" w:rsidR="000B0265" w:rsidRDefault="000B0265">
            <w:pPr>
              <w:rPr>
                <w:rFonts w:ascii="Cambria" w:hAnsi="Cambria"/>
                <w:sz w:val="22"/>
                <w:szCs w:val="22"/>
              </w:rPr>
            </w:pPr>
            <w:r>
              <w:rPr>
                <w:rFonts w:ascii="Cambria" w:hAnsi="Cambria"/>
                <w:sz w:val="22"/>
                <w:szCs w:val="22"/>
              </w:rPr>
              <w:t xml:space="preserve">91 457 60 57 </w:t>
            </w:r>
          </w:p>
        </w:tc>
        <w:tc>
          <w:tcPr>
            <w:tcW w:w="4414" w:type="dxa"/>
            <w:hideMark/>
          </w:tcPr>
          <w:p w14:paraId="7A723C60" w14:textId="59729EB5" w:rsidR="000B0265" w:rsidRDefault="003F19BC">
            <w:pPr>
              <w:rPr>
                <w:rFonts w:ascii="Cambria" w:hAnsi="Cambria"/>
                <w:sz w:val="22"/>
                <w:szCs w:val="22"/>
              </w:rPr>
            </w:pPr>
            <w:r>
              <w:rPr>
                <w:rFonts w:ascii="Cambria" w:hAnsi="Cambria"/>
                <w:sz w:val="22"/>
                <w:szCs w:val="22"/>
              </w:rPr>
              <w:t xml:space="preserve">Eva Tuñas </w:t>
            </w:r>
          </w:p>
          <w:p w14:paraId="0B831C80" w14:textId="392D8EF4" w:rsidR="000B0265" w:rsidRDefault="003F19BC">
            <w:pPr>
              <w:rPr>
                <w:rFonts w:ascii="Cambria" w:hAnsi="Cambria"/>
                <w:sz w:val="22"/>
                <w:szCs w:val="22"/>
              </w:rPr>
            </w:pPr>
            <w:r>
              <w:rPr>
                <w:rFonts w:ascii="Cambria" w:hAnsi="Cambria"/>
                <w:color w:val="0B4CB4"/>
                <w:sz w:val="22"/>
                <w:szCs w:val="22"/>
              </w:rPr>
              <w:t>etunas@kreab.com</w:t>
            </w:r>
          </w:p>
          <w:p w14:paraId="3FE90416" w14:textId="721D6D96" w:rsidR="000B0265" w:rsidRDefault="00413BE4" w:rsidP="003F19BC">
            <w:pPr>
              <w:rPr>
                <w:rFonts w:ascii="Cambria" w:hAnsi="Cambria"/>
                <w:sz w:val="22"/>
                <w:szCs w:val="22"/>
              </w:rPr>
            </w:pPr>
            <w:r>
              <w:rPr>
                <w:rFonts w:ascii="Cambria" w:hAnsi="Cambria"/>
                <w:sz w:val="22"/>
                <w:szCs w:val="22"/>
              </w:rPr>
              <w:t xml:space="preserve">+34 </w:t>
            </w:r>
            <w:r w:rsidRPr="00413BE4">
              <w:rPr>
                <w:rFonts w:ascii="Cambria" w:hAnsi="Cambria"/>
                <w:sz w:val="22"/>
                <w:szCs w:val="22"/>
              </w:rPr>
              <w:t>635186419</w:t>
            </w:r>
          </w:p>
        </w:tc>
      </w:tr>
      <w:tr w:rsidR="000B0265" w:rsidRPr="003F5994" w14:paraId="491F7145" w14:textId="77777777" w:rsidTr="000B0265">
        <w:tc>
          <w:tcPr>
            <w:tcW w:w="4414" w:type="dxa"/>
          </w:tcPr>
          <w:p w14:paraId="06597E99" w14:textId="77777777" w:rsidR="000B0265" w:rsidRDefault="000B0265">
            <w:pPr>
              <w:rPr>
                <w:rFonts w:ascii="Cambria" w:hAnsi="Cambria"/>
                <w:sz w:val="22"/>
                <w:szCs w:val="22"/>
              </w:rPr>
            </w:pPr>
          </w:p>
        </w:tc>
        <w:tc>
          <w:tcPr>
            <w:tcW w:w="4414" w:type="dxa"/>
            <w:hideMark/>
          </w:tcPr>
          <w:p w14:paraId="560DC716" w14:textId="728A953F" w:rsidR="00FA6CB7" w:rsidRPr="00180884" w:rsidRDefault="003F19BC" w:rsidP="00FA6CB7">
            <w:pPr>
              <w:rPr>
                <w:rFonts w:ascii="Cambria" w:hAnsi="Cambria"/>
                <w:sz w:val="22"/>
                <w:szCs w:val="22"/>
                <w:lang w:val="it-IT"/>
              </w:rPr>
            </w:pPr>
            <w:r>
              <w:rPr>
                <w:rFonts w:ascii="Cambria" w:hAnsi="Cambria"/>
                <w:sz w:val="22"/>
                <w:szCs w:val="22"/>
                <w:lang w:val="it-IT"/>
              </w:rPr>
              <w:t xml:space="preserve">Daniel Santiago </w:t>
            </w:r>
          </w:p>
          <w:p w14:paraId="699B7C85" w14:textId="2D3297B1" w:rsidR="00FA6CB7" w:rsidRPr="00180884" w:rsidRDefault="003F19BC" w:rsidP="00FA6CB7">
            <w:pPr>
              <w:rPr>
                <w:rFonts w:ascii="Cambria" w:hAnsi="Cambria"/>
                <w:sz w:val="22"/>
                <w:szCs w:val="22"/>
                <w:lang w:val="it-IT"/>
              </w:rPr>
            </w:pPr>
            <w:r>
              <w:rPr>
                <w:rFonts w:ascii="Cambria" w:hAnsi="Cambria"/>
                <w:color w:val="0B4CB4"/>
                <w:sz w:val="22"/>
                <w:szCs w:val="22"/>
                <w:lang w:val="it-IT"/>
              </w:rPr>
              <w:t>dsantiago@kreab.com</w:t>
            </w:r>
          </w:p>
          <w:p w14:paraId="5392FDCD" w14:textId="00623B41" w:rsidR="000B0265" w:rsidRPr="003F19BC" w:rsidRDefault="0014393A" w:rsidP="003F19BC">
            <w:pPr>
              <w:rPr>
                <w:rFonts w:ascii="Cambria" w:hAnsi="Cambria"/>
                <w:sz w:val="22"/>
                <w:szCs w:val="22"/>
                <w:lang w:val="en-US"/>
              </w:rPr>
            </w:pPr>
            <w:r w:rsidRPr="007C43CC">
              <w:rPr>
                <w:rFonts w:ascii="Cambria" w:hAnsi="Cambria"/>
                <w:sz w:val="22"/>
                <w:szCs w:val="22"/>
                <w:lang w:val="en-GB"/>
              </w:rPr>
              <w:t>+34 692 52 87 60</w:t>
            </w:r>
          </w:p>
        </w:tc>
      </w:tr>
      <w:bookmarkEnd w:id="1"/>
    </w:tbl>
    <w:p w14:paraId="54670864" w14:textId="510BE0D1" w:rsidR="00920080" w:rsidRPr="003F19BC" w:rsidRDefault="00920080" w:rsidP="00A0642D">
      <w:pPr>
        <w:widowControl w:val="0"/>
        <w:autoSpaceDE w:val="0"/>
        <w:autoSpaceDN w:val="0"/>
        <w:adjustRightInd w:val="0"/>
        <w:spacing w:after="240" w:line="300" w:lineRule="atLeast"/>
        <w:jc w:val="both"/>
        <w:rPr>
          <w:rFonts w:ascii="Cambria" w:hAnsi="Cambria"/>
          <w:lang w:val="en-US"/>
        </w:rPr>
      </w:pPr>
    </w:p>
    <w:sectPr w:rsidR="00920080" w:rsidRPr="003F19BC" w:rsidSect="00920080">
      <w:headerReference w:type="default" r:id="rId13"/>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2283" w14:textId="77777777" w:rsidR="001A4F87" w:rsidRDefault="001A4F87" w:rsidP="00AD6E95">
      <w:r>
        <w:separator/>
      </w:r>
    </w:p>
  </w:endnote>
  <w:endnote w:type="continuationSeparator" w:id="0">
    <w:p w14:paraId="432040ED" w14:textId="77777777" w:rsidR="001A4F87" w:rsidRDefault="001A4F87" w:rsidP="00AD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altName w:val="﷽﷽﷽﷽﷽﷽﷽﷽ౢ뫝洀Ç悀"/>
    <w:panose1 w:val="02020603050405020304"/>
    <w:charset w:val="00"/>
    <w:family w:val="auto"/>
    <w:pitch w:val="variable"/>
    <w:sig w:usb0="E00002FF" w:usb1="5000205A" w:usb2="00000000" w:usb3="00000000" w:csb0="0000019F" w:csb1="00000000"/>
  </w:font>
  <w:font w:name="Baghdad">
    <w:altName w:val="﷽﷽﷽﷽﷽﷽﷽﷽䛠:恀"/>
    <w:charset w:val="B2"/>
    <w:family w:val="auto"/>
    <w:pitch w:val="variable"/>
    <w:sig w:usb0="80002003" w:usb1="80000000" w:usb2="00000008" w:usb3="00000000" w:csb0="0000004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58C9" w14:textId="77777777" w:rsidR="001A4F87" w:rsidRDefault="001A4F87" w:rsidP="00AD6E95">
      <w:r>
        <w:separator/>
      </w:r>
    </w:p>
  </w:footnote>
  <w:footnote w:type="continuationSeparator" w:id="0">
    <w:p w14:paraId="1CF04222" w14:textId="77777777" w:rsidR="001A4F87" w:rsidRDefault="001A4F87" w:rsidP="00AD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8045" w14:textId="77777777" w:rsidR="004909DE" w:rsidRDefault="004909DE" w:rsidP="00AB7942">
    <w:pPr>
      <w:pStyle w:val="Encabezado"/>
    </w:pPr>
    <w:r>
      <w:rPr>
        <w:rFonts w:ascii="Times" w:hAnsi="Times" w:cs="Times"/>
        <w:noProof/>
        <w:lang w:val="es-ES" w:eastAsia="es-ES"/>
      </w:rPr>
      <w:drawing>
        <wp:anchor distT="0" distB="0" distL="114300" distR="114300" simplePos="0" relativeHeight="251658240" behindDoc="0" locked="0" layoutInCell="1" allowOverlap="1" wp14:anchorId="4993A72E" wp14:editId="4081777D">
          <wp:simplePos x="0" y="0"/>
          <wp:positionH relativeFrom="column">
            <wp:posOffset>3768090</wp:posOffset>
          </wp:positionH>
          <wp:positionV relativeFrom="paragraph">
            <wp:posOffset>-19050</wp:posOffset>
          </wp:positionV>
          <wp:extent cx="1571625" cy="452755"/>
          <wp:effectExtent l="0" t="0" r="9525" b="444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527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A5A30E0" w14:textId="77777777" w:rsidR="00874910" w:rsidRDefault="00874910" w:rsidP="00AB7942">
    <w:pPr>
      <w:pStyle w:val="Encabezado"/>
    </w:pPr>
  </w:p>
  <w:p w14:paraId="5FD620E8" w14:textId="77777777" w:rsidR="00874910" w:rsidRDefault="00874910" w:rsidP="008749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43CE2"/>
    <w:multiLevelType w:val="hybridMultilevel"/>
    <w:tmpl w:val="E99EE84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51C24A91"/>
    <w:multiLevelType w:val="hybridMultilevel"/>
    <w:tmpl w:val="A39409B0"/>
    <w:lvl w:ilvl="0" w:tplc="0C0A0001">
      <w:start w:val="1"/>
      <w:numFmt w:val="bullet"/>
      <w:lvlText w:val=""/>
      <w:lvlJc w:val="left"/>
      <w:pPr>
        <w:ind w:left="580" w:hanging="360"/>
      </w:pPr>
      <w:rPr>
        <w:rFonts w:ascii="Symbol" w:hAnsi="Symbol"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3" w15:restartNumberingAfterBreak="0">
    <w:nsid w:val="59B06DDE"/>
    <w:multiLevelType w:val="hybridMultilevel"/>
    <w:tmpl w:val="D5BE91D6"/>
    <w:lvl w:ilvl="0" w:tplc="BB44938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356C8D"/>
    <w:multiLevelType w:val="hybridMultilevel"/>
    <w:tmpl w:val="3B0E15B4"/>
    <w:lvl w:ilvl="0" w:tplc="0C0A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C3A20BA"/>
    <w:multiLevelType w:val="hybridMultilevel"/>
    <w:tmpl w:val="86D88BA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E95"/>
    <w:rsid w:val="000209E5"/>
    <w:rsid w:val="00026219"/>
    <w:rsid w:val="00030C2A"/>
    <w:rsid w:val="00031AAE"/>
    <w:rsid w:val="00032900"/>
    <w:rsid w:val="00034096"/>
    <w:rsid w:val="00034FD5"/>
    <w:rsid w:val="000377E2"/>
    <w:rsid w:val="000413AB"/>
    <w:rsid w:val="000437F8"/>
    <w:rsid w:val="00055F34"/>
    <w:rsid w:val="00063E68"/>
    <w:rsid w:val="000715BC"/>
    <w:rsid w:val="00073522"/>
    <w:rsid w:val="00082F17"/>
    <w:rsid w:val="0008443E"/>
    <w:rsid w:val="00090367"/>
    <w:rsid w:val="00094FCC"/>
    <w:rsid w:val="00095AD8"/>
    <w:rsid w:val="000961DD"/>
    <w:rsid w:val="00096772"/>
    <w:rsid w:val="000970CB"/>
    <w:rsid w:val="000A29A9"/>
    <w:rsid w:val="000B0265"/>
    <w:rsid w:val="000B3FDF"/>
    <w:rsid w:val="000C5AF9"/>
    <w:rsid w:val="000D2536"/>
    <w:rsid w:val="000D68BD"/>
    <w:rsid w:val="000E1695"/>
    <w:rsid w:val="000E1D3E"/>
    <w:rsid w:val="000F0DBF"/>
    <w:rsid w:val="000F12B8"/>
    <w:rsid w:val="000F13AE"/>
    <w:rsid w:val="00100400"/>
    <w:rsid w:val="00105FDD"/>
    <w:rsid w:val="00115867"/>
    <w:rsid w:val="001159D3"/>
    <w:rsid w:val="001179F0"/>
    <w:rsid w:val="00121C5D"/>
    <w:rsid w:val="00123696"/>
    <w:rsid w:val="00124E9E"/>
    <w:rsid w:val="0012610B"/>
    <w:rsid w:val="00126AD3"/>
    <w:rsid w:val="001379FD"/>
    <w:rsid w:val="0014393A"/>
    <w:rsid w:val="00147BF1"/>
    <w:rsid w:val="00160CBF"/>
    <w:rsid w:val="00164CA0"/>
    <w:rsid w:val="0017562B"/>
    <w:rsid w:val="00180884"/>
    <w:rsid w:val="00180C14"/>
    <w:rsid w:val="00180E2F"/>
    <w:rsid w:val="00184B18"/>
    <w:rsid w:val="00187777"/>
    <w:rsid w:val="00197AE1"/>
    <w:rsid w:val="001A1E7D"/>
    <w:rsid w:val="001A4F87"/>
    <w:rsid w:val="001A7934"/>
    <w:rsid w:val="001B70C7"/>
    <w:rsid w:val="001C32F2"/>
    <w:rsid w:val="001C4F98"/>
    <w:rsid w:val="001E2174"/>
    <w:rsid w:val="001E43FF"/>
    <w:rsid w:val="00207C8B"/>
    <w:rsid w:val="00223927"/>
    <w:rsid w:val="00224CEE"/>
    <w:rsid w:val="002344A1"/>
    <w:rsid w:val="0023509E"/>
    <w:rsid w:val="0024012D"/>
    <w:rsid w:val="00244793"/>
    <w:rsid w:val="00261B70"/>
    <w:rsid w:val="0026592C"/>
    <w:rsid w:val="00267C73"/>
    <w:rsid w:val="002801CB"/>
    <w:rsid w:val="00283174"/>
    <w:rsid w:val="00284B9A"/>
    <w:rsid w:val="00295EB1"/>
    <w:rsid w:val="002B3618"/>
    <w:rsid w:val="002B5628"/>
    <w:rsid w:val="002C05A7"/>
    <w:rsid w:val="002C3030"/>
    <w:rsid w:val="002C3817"/>
    <w:rsid w:val="002D220E"/>
    <w:rsid w:val="002D6008"/>
    <w:rsid w:val="002E6C1C"/>
    <w:rsid w:val="002E7195"/>
    <w:rsid w:val="002E71F4"/>
    <w:rsid w:val="003024DD"/>
    <w:rsid w:val="00304504"/>
    <w:rsid w:val="00306FE5"/>
    <w:rsid w:val="003070CF"/>
    <w:rsid w:val="00307D77"/>
    <w:rsid w:val="0033531A"/>
    <w:rsid w:val="003411DF"/>
    <w:rsid w:val="0035210E"/>
    <w:rsid w:val="0036033B"/>
    <w:rsid w:val="00376FD6"/>
    <w:rsid w:val="00380F42"/>
    <w:rsid w:val="00383069"/>
    <w:rsid w:val="00394265"/>
    <w:rsid w:val="003A01F4"/>
    <w:rsid w:val="003B278F"/>
    <w:rsid w:val="003B2837"/>
    <w:rsid w:val="003B28A6"/>
    <w:rsid w:val="003B5A19"/>
    <w:rsid w:val="003B728E"/>
    <w:rsid w:val="003C6CAD"/>
    <w:rsid w:val="003D1C24"/>
    <w:rsid w:val="003D2ABC"/>
    <w:rsid w:val="003E7508"/>
    <w:rsid w:val="003F19BC"/>
    <w:rsid w:val="003F5994"/>
    <w:rsid w:val="003F5DAF"/>
    <w:rsid w:val="003F6674"/>
    <w:rsid w:val="0040413A"/>
    <w:rsid w:val="004041B3"/>
    <w:rsid w:val="00413BE4"/>
    <w:rsid w:val="00415540"/>
    <w:rsid w:val="00417ADC"/>
    <w:rsid w:val="004337D6"/>
    <w:rsid w:val="00433810"/>
    <w:rsid w:val="00440906"/>
    <w:rsid w:val="00441796"/>
    <w:rsid w:val="00446DD9"/>
    <w:rsid w:val="00450F32"/>
    <w:rsid w:val="00450F3D"/>
    <w:rsid w:val="004510F2"/>
    <w:rsid w:val="00452E43"/>
    <w:rsid w:val="0045753A"/>
    <w:rsid w:val="004578AE"/>
    <w:rsid w:val="00461C12"/>
    <w:rsid w:val="004636A2"/>
    <w:rsid w:val="00465E4F"/>
    <w:rsid w:val="004746CE"/>
    <w:rsid w:val="00481337"/>
    <w:rsid w:val="004909DE"/>
    <w:rsid w:val="00490EEB"/>
    <w:rsid w:val="00497DEA"/>
    <w:rsid w:val="004A6695"/>
    <w:rsid w:val="004A7BCF"/>
    <w:rsid w:val="004B05F5"/>
    <w:rsid w:val="004B2C9A"/>
    <w:rsid w:val="004B37C1"/>
    <w:rsid w:val="004B49F2"/>
    <w:rsid w:val="004B5569"/>
    <w:rsid w:val="004C4C8E"/>
    <w:rsid w:val="004C4F1A"/>
    <w:rsid w:val="004D7C50"/>
    <w:rsid w:val="004E07FF"/>
    <w:rsid w:val="004E6DC9"/>
    <w:rsid w:val="004E7DF9"/>
    <w:rsid w:val="004F7A2A"/>
    <w:rsid w:val="00502121"/>
    <w:rsid w:val="005025BE"/>
    <w:rsid w:val="00525C6F"/>
    <w:rsid w:val="00537407"/>
    <w:rsid w:val="00550E46"/>
    <w:rsid w:val="0056301A"/>
    <w:rsid w:val="005652FE"/>
    <w:rsid w:val="00594AC7"/>
    <w:rsid w:val="005950ED"/>
    <w:rsid w:val="005A41B0"/>
    <w:rsid w:val="005A4BE7"/>
    <w:rsid w:val="005A548A"/>
    <w:rsid w:val="005A5AA0"/>
    <w:rsid w:val="005B4E24"/>
    <w:rsid w:val="005B6ADD"/>
    <w:rsid w:val="005C0CD7"/>
    <w:rsid w:val="005D33B5"/>
    <w:rsid w:val="005D6655"/>
    <w:rsid w:val="005E146D"/>
    <w:rsid w:val="005E1E4E"/>
    <w:rsid w:val="005E3157"/>
    <w:rsid w:val="005E497C"/>
    <w:rsid w:val="005E737C"/>
    <w:rsid w:val="00600662"/>
    <w:rsid w:val="006051BE"/>
    <w:rsid w:val="006076C7"/>
    <w:rsid w:val="0061010C"/>
    <w:rsid w:val="00614A70"/>
    <w:rsid w:val="0061763D"/>
    <w:rsid w:val="0062364D"/>
    <w:rsid w:val="006262C3"/>
    <w:rsid w:val="00642840"/>
    <w:rsid w:val="00643D4B"/>
    <w:rsid w:val="0065077B"/>
    <w:rsid w:val="006526A8"/>
    <w:rsid w:val="00654A67"/>
    <w:rsid w:val="00663292"/>
    <w:rsid w:val="00670988"/>
    <w:rsid w:val="006727A2"/>
    <w:rsid w:val="00694CDB"/>
    <w:rsid w:val="00695541"/>
    <w:rsid w:val="006A193F"/>
    <w:rsid w:val="006A3E26"/>
    <w:rsid w:val="006A4DA9"/>
    <w:rsid w:val="006B65EF"/>
    <w:rsid w:val="006B74A6"/>
    <w:rsid w:val="006C6EE5"/>
    <w:rsid w:val="006D0D76"/>
    <w:rsid w:val="006D4F86"/>
    <w:rsid w:val="006D67D5"/>
    <w:rsid w:val="006E55D3"/>
    <w:rsid w:val="006E55EB"/>
    <w:rsid w:val="006F3034"/>
    <w:rsid w:val="006F4BF7"/>
    <w:rsid w:val="00700C74"/>
    <w:rsid w:val="00707C33"/>
    <w:rsid w:val="007139DB"/>
    <w:rsid w:val="00715722"/>
    <w:rsid w:val="007161EB"/>
    <w:rsid w:val="00730F8F"/>
    <w:rsid w:val="00735419"/>
    <w:rsid w:val="007603F8"/>
    <w:rsid w:val="00764EBE"/>
    <w:rsid w:val="00765FD1"/>
    <w:rsid w:val="007669C7"/>
    <w:rsid w:val="00767D2A"/>
    <w:rsid w:val="0077095A"/>
    <w:rsid w:val="00772E74"/>
    <w:rsid w:val="00773FB0"/>
    <w:rsid w:val="0078176F"/>
    <w:rsid w:val="00787D15"/>
    <w:rsid w:val="007A0C6D"/>
    <w:rsid w:val="007A2443"/>
    <w:rsid w:val="007A4FA2"/>
    <w:rsid w:val="007B0E84"/>
    <w:rsid w:val="007B735E"/>
    <w:rsid w:val="007C036F"/>
    <w:rsid w:val="007C395A"/>
    <w:rsid w:val="007C43CC"/>
    <w:rsid w:val="007C5712"/>
    <w:rsid w:val="007D2838"/>
    <w:rsid w:val="007D61DC"/>
    <w:rsid w:val="007D77E6"/>
    <w:rsid w:val="007E26A4"/>
    <w:rsid w:val="007E7893"/>
    <w:rsid w:val="007F0522"/>
    <w:rsid w:val="007F1BD6"/>
    <w:rsid w:val="0080153A"/>
    <w:rsid w:val="00804422"/>
    <w:rsid w:val="00807B01"/>
    <w:rsid w:val="00814136"/>
    <w:rsid w:val="0082419E"/>
    <w:rsid w:val="00834FF7"/>
    <w:rsid w:val="00835B72"/>
    <w:rsid w:val="00841A60"/>
    <w:rsid w:val="008470B3"/>
    <w:rsid w:val="00850F75"/>
    <w:rsid w:val="00851021"/>
    <w:rsid w:val="00853AC5"/>
    <w:rsid w:val="00853BFB"/>
    <w:rsid w:val="0086061E"/>
    <w:rsid w:val="0086435D"/>
    <w:rsid w:val="00874910"/>
    <w:rsid w:val="008749C5"/>
    <w:rsid w:val="008846E2"/>
    <w:rsid w:val="00885204"/>
    <w:rsid w:val="00887CE9"/>
    <w:rsid w:val="00890CE8"/>
    <w:rsid w:val="00891E71"/>
    <w:rsid w:val="00893757"/>
    <w:rsid w:val="008B3361"/>
    <w:rsid w:val="008B5DCA"/>
    <w:rsid w:val="008C423A"/>
    <w:rsid w:val="008D0E5C"/>
    <w:rsid w:val="008E2E6A"/>
    <w:rsid w:val="008E6757"/>
    <w:rsid w:val="008F7CDF"/>
    <w:rsid w:val="00910266"/>
    <w:rsid w:val="0091080C"/>
    <w:rsid w:val="009127EF"/>
    <w:rsid w:val="00920080"/>
    <w:rsid w:val="009222BB"/>
    <w:rsid w:val="00923CC6"/>
    <w:rsid w:val="00926686"/>
    <w:rsid w:val="0093153A"/>
    <w:rsid w:val="00936643"/>
    <w:rsid w:val="0093763B"/>
    <w:rsid w:val="0094238A"/>
    <w:rsid w:val="00942958"/>
    <w:rsid w:val="00952AF2"/>
    <w:rsid w:val="0096056F"/>
    <w:rsid w:val="00961CB6"/>
    <w:rsid w:val="00962377"/>
    <w:rsid w:val="0096411F"/>
    <w:rsid w:val="0096565E"/>
    <w:rsid w:val="00970DEA"/>
    <w:rsid w:val="00983A18"/>
    <w:rsid w:val="00990C75"/>
    <w:rsid w:val="009A39F5"/>
    <w:rsid w:val="009A445E"/>
    <w:rsid w:val="009A6192"/>
    <w:rsid w:val="009A63D2"/>
    <w:rsid w:val="009C582F"/>
    <w:rsid w:val="009C60AA"/>
    <w:rsid w:val="009D18C0"/>
    <w:rsid w:val="009D2A6B"/>
    <w:rsid w:val="009D2DBD"/>
    <w:rsid w:val="009D6B91"/>
    <w:rsid w:val="009E0E51"/>
    <w:rsid w:val="009E2C40"/>
    <w:rsid w:val="009F54E6"/>
    <w:rsid w:val="00A0006C"/>
    <w:rsid w:val="00A010E8"/>
    <w:rsid w:val="00A03CCA"/>
    <w:rsid w:val="00A0642D"/>
    <w:rsid w:val="00A10937"/>
    <w:rsid w:val="00A15E0E"/>
    <w:rsid w:val="00A34382"/>
    <w:rsid w:val="00A363A1"/>
    <w:rsid w:val="00A376CC"/>
    <w:rsid w:val="00A44F6C"/>
    <w:rsid w:val="00A45248"/>
    <w:rsid w:val="00A509DF"/>
    <w:rsid w:val="00A52672"/>
    <w:rsid w:val="00A5315F"/>
    <w:rsid w:val="00A56B4A"/>
    <w:rsid w:val="00A573E1"/>
    <w:rsid w:val="00A63EB9"/>
    <w:rsid w:val="00A74B1A"/>
    <w:rsid w:val="00A75555"/>
    <w:rsid w:val="00A76264"/>
    <w:rsid w:val="00A93E66"/>
    <w:rsid w:val="00A96FD3"/>
    <w:rsid w:val="00AA558C"/>
    <w:rsid w:val="00AB7441"/>
    <w:rsid w:val="00AB7942"/>
    <w:rsid w:val="00AC07CE"/>
    <w:rsid w:val="00AC39B2"/>
    <w:rsid w:val="00AC6215"/>
    <w:rsid w:val="00AD3665"/>
    <w:rsid w:val="00AD6E95"/>
    <w:rsid w:val="00AD72DF"/>
    <w:rsid w:val="00AD7A96"/>
    <w:rsid w:val="00AE0B6C"/>
    <w:rsid w:val="00AE1712"/>
    <w:rsid w:val="00AE1D43"/>
    <w:rsid w:val="00AF0541"/>
    <w:rsid w:val="00AF3817"/>
    <w:rsid w:val="00AF6B01"/>
    <w:rsid w:val="00B067F0"/>
    <w:rsid w:val="00B12737"/>
    <w:rsid w:val="00B12BFB"/>
    <w:rsid w:val="00B14A03"/>
    <w:rsid w:val="00B151BA"/>
    <w:rsid w:val="00B23EF4"/>
    <w:rsid w:val="00B30EFD"/>
    <w:rsid w:val="00B3416C"/>
    <w:rsid w:val="00B35BE9"/>
    <w:rsid w:val="00B416B0"/>
    <w:rsid w:val="00B43E48"/>
    <w:rsid w:val="00B43E75"/>
    <w:rsid w:val="00B462D4"/>
    <w:rsid w:val="00B621C8"/>
    <w:rsid w:val="00B627FF"/>
    <w:rsid w:val="00B6517B"/>
    <w:rsid w:val="00B6647C"/>
    <w:rsid w:val="00B71CB4"/>
    <w:rsid w:val="00B74DD7"/>
    <w:rsid w:val="00B755B5"/>
    <w:rsid w:val="00B77B96"/>
    <w:rsid w:val="00B81227"/>
    <w:rsid w:val="00B81F75"/>
    <w:rsid w:val="00B85E47"/>
    <w:rsid w:val="00BB426E"/>
    <w:rsid w:val="00BB4886"/>
    <w:rsid w:val="00BB4BBB"/>
    <w:rsid w:val="00BB7401"/>
    <w:rsid w:val="00BD358C"/>
    <w:rsid w:val="00BD5F22"/>
    <w:rsid w:val="00BE11A5"/>
    <w:rsid w:val="00BE1917"/>
    <w:rsid w:val="00BE4BA6"/>
    <w:rsid w:val="00BE4E11"/>
    <w:rsid w:val="00BE5989"/>
    <w:rsid w:val="00BE75C0"/>
    <w:rsid w:val="00BF71E4"/>
    <w:rsid w:val="00C00F2A"/>
    <w:rsid w:val="00C04E81"/>
    <w:rsid w:val="00C152EF"/>
    <w:rsid w:val="00C160CF"/>
    <w:rsid w:val="00C2004C"/>
    <w:rsid w:val="00C30A45"/>
    <w:rsid w:val="00C30EBD"/>
    <w:rsid w:val="00C3165A"/>
    <w:rsid w:val="00C328D0"/>
    <w:rsid w:val="00C46BB3"/>
    <w:rsid w:val="00C52BFA"/>
    <w:rsid w:val="00C65521"/>
    <w:rsid w:val="00C66898"/>
    <w:rsid w:val="00C70802"/>
    <w:rsid w:val="00C72775"/>
    <w:rsid w:val="00C72F5D"/>
    <w:rsid w:val="00C8012F"/>
    <w:rsid w:val="00C855BD"/>
    <w:rsid w:val="00C87C06"/>
    <w:rsid w:val="00C90E57"/>
    <w:rsid w:val="00C96A69"/>
    <w:rsid w:val="00C97651"/>
    <w:rsid w:val="00CB384E"/>
    <w:rsid w:val="00CC0AF1"/>
    <w:rsid w:val="00CC51FF"/>
    <w:rsid w:val="00CC622F"/>
    <w:rsid w:val="00CD09A3"/>
    <w:rsid w:val="00CD42FB"/>
    <w:rsid w:val="00CD6872"/>
    <w:rsid w:val="00CD69EA"/>
    <w:rsid w:val="00CE024A"/>
    <w:rsid w:val="00CF031B"/>
    <w:rsid w:val="00CF5039"/>
    <w:rsid w:val="00CF7866"/>
    <w:rsid w:val="00D00A29"/>
    <w:rsid w:val="00D03AEC"/>
    <w:rsid w:val="00D12986"/>
    <w:rsid w:val="00D2152B"/>
    <w:rsid w:val="00D2705E"/>
    <w:rsid w:val="00D34958"/>
    <w:rsid w:val="00D34B03"/>
    <w:rsid w:val="00D423C2"/>
    <w:rsid w:val="00D42A06"/>
    <w:rsid w:val="00D53BB0"/>
    <w:rsid w:val="00D54008"/>
    <w:rsid w:val="00D55C90"/>
    <w:rsid w:val="00D777FE"/>
    <w:rsid w:val="00D778CD"/>
    <w:rsid w:val="00D90DF2"/>
    <w:rsid w:val="00D92F9E"/>
    <w:rsid w:val="00D932D5"/>
    <w:rsid w:val="00D96B69"/>
    <w:rsid w:val="00DA1268"/>
    <w:rsid w:val="00DA2FCD"/>
    <w:rsid w:val="00DA4A72"/>
    <w:rsid w:val="00DC3268"/>
    <w:rsid w:val="00DD6442"/>
    <w:rsid w:val="00DD71B8"/>
    <w:rsid w:val="00DE7F03"/>
    <w:rsid w:val="00DF4CF9"/>
    <w:rsid w:val="00DF701D"/>
    <w:rsid w:val="00E013AC"/>
    <w:rsid w:val="00E03AEA"/>
    <w:rsid w:val="00E16A14"/>
    <w:rsid w:val="00E16B94"/>
    <w:rsid w:val="00E17677"/>
    <w:rsid w:val="00E20A38"/>
    <w:rsid w:val="00E20BC0"/>
    <w:rsid w:val="00E20DFD"/>
    <w:rsid w:val="00E23EF7"/>
    <w:rsid w:val="00E24547"/>
    <w:rsid w:val="00E25714"/>
    <w:rsid w:val="00E35891"/>
    <w:rsid w:val="00E366FE"/>
    <w:rsid w:val="00E4244C"/>
    <w:rsid w:val="00E46381"/>
    <w:rsid w:val="00E46417"/>
    <w:rsid w:val="00E51999"/>
    <w:rsid w:val="00E5718A"/>
    <w:rsid w:val="00E67862"/>
    <w:rsid w:val="00E735C6"/>
    <w:rsid w:val="00E73868"/>
    <w:rsid w:val="00E73B77"/>
    <w:rsid w:val="00E73BE2"/>
    <w:rsid w:val="00E816CF"/>
    <w:rsid w:val="00E82873"/>
    <w:rsid w:val="00E86847"/>
    <w:rsid w:val="00E906FD"/>
    <w:rsid w:val="00EB05AD"/>
    <w:rsid w:val="00EB2DA1"/>
    <w:rsid w:val="00EB4A89"/>
    <w:rsid w:val="00EB6F0F"/>
    <w:rsid w:val="00EC534D"/>
    <w:rsid w:val="00EC7BBB"/>
    <w:rsid w:val="00ED34F7"/>
    <w:rsid w:val="00ED7D92"/>
    <w:rsid w:val="00EF2C4F"/>
    <w:rsid w:val="00F01926"/>
    <w:rsid w:val="00F03E58"/>
    <w:rsid w:val="00F0576A"/>
    <w:rsid w:val="00F06820"/>
    <w:rsid w:val="00F14082"/>
    <w:rsid w:val="00F15D1E"/>
    <w:rsid w:val="00F27C8F"/>
    <w:rsid w:val="00F410A6"/>
    <w:rsid w:val="00F434C5"/>
    <w:rsid w:val="00F456E9"/>
    <w:rsid w:val="00F45B2C"/>
    <w:rsid w:val="00F56048"/>
    <w:rsid w:val="00F5662F"/>
    <w:rsid w:val="00F60264"/>
    <w:rsid w:val="00F6150C"/>
    <w:rsid w:val="00F62FBC"/>
    <w:rsid w:val="00F66498"/>
    <w:rsid w:val="00F746D7"/>
    <w:rsid w:val="00F76D30"/>
    <w:rsid w:val="00F81733"/>
    <w:rsid w:val="00F817B9"/>
    <w:rsid w:val="00F81873"/>
    <w:rsid w:val="00F819F5"/>
    <w:rsid w:val="00F91ECB"/>
    <w:rsid w:val="00F950FD"/>
    <w:rsid w:val="00F96600"/>
    <w:rsid w:val="00FA6CB7"/>
    <w:rsid w:val="00FC0619"/>
    <w:rsid w:val="00FC13B0"/>
    <w:rsid w:val="00FC4D27"/>
    <w:rsid w:val="00FD0D29"/>
    <w:rsid w:val="00FD77E4"/>
    <w:rsid w:val="00FE1007"/>
    <w:rsid w:val="00FE7EA7"/>
    <w:rsid w:val="00FF2B4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B9753F"/>
  <w15:docId w15:val="{356A98B9-DAC8-451F-82AF-9B66EC21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E95"/>
    <w:pPr>
      <w:tabs>
        <w:tab w:val="center" w:pos="4252"/>
        <w:tab w:val="right" w:pos="8504"/>
      </w:tabs>
    </w:pPr>
  </w:style>
  <w:style w:type="character" w:customStyle="1" w:styleId="EncabezadoCar">
    <w:name w:val="Encabezado Car"/>
    <w:basedOn w:val="Fuentedeprrafopredeter"/>
    <w:link w:val="Encabezado"/>
    <w:uiPriority w:val="99"/>
    <w:rsid w:val="00AD6E95"/>
  </w:style>
  <w:style w:type="paragraph" w:styleId="Piedepgina">
    <w:name w:val="footer"/>
    <w:basedOn w:val="Normal"/>
    <w:link w:val="PiedepginaCar"/>
    <w:uiPriority w:val="99"/>
    <w:unhideWhenUsed/>
    <w:rsid w:val="00AD6E95"/>
    <w:pPr>
      <w:tabs>
        <w:tab w:val="center" w:pos="4252"/>
        <w:tab w:val="right" w:pos="8504"/>
      </w:tabs>
    </w:pPr>
  </w:style>
  <w:style w:type="character" w:customStyle="1" w:styleId="PiedepginaCar">
    <w:name w:val="Pie de página Car"/>
    <w:basedOn w:val="Fuentedeprrafopredeter"/>
    <w:link w:val="Piedepgina"/>
    <w:uiPriority w:val="99"/>
    <w:rsid w:val="00AD6E95"/>
  </w:style>
  <w:style w:type="table" w:styleId="Tablaconcuadrcula">
    <w:name w:val="Table Grid"/>
    <w:basedOn w:val="Tablanormal"/>
    <w:uiPriority w:val="39"/>
    <w:rsid w:val="00AD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6E95"/>
    <w:rPr>
      <w:color w:val="0563C1" w:themeColor="hyperlink"/>
      <w:u w:val="single"/>
    </w:rPr>
  </w:style>
  <w:style w:type="paragraph" w:styleId="Prrafodelista">
    <w:name w:val="List Paragraph"/>
    <w:basedOn w:val="Normal"/>
    <w:uiPriority w:val="34"/>
    <w:qFormat/>
    <w:rsid w:val="006F4BF7"/>
    <w:pPr>
      <w:ind w:left="720"/>
      <w:contextualSpacing/>
    </w:pPr>
  </w:style>
  <w:style w:type="paragraph" w:styleId="Textodeglobo">
    <w:name w:val="Balloon Text"/>
    <w:basedOn w:val="Normal"/>
    <w:link w:val="TextodegloboCar"/>
    <w:uiPriority w:val="99"/>
    <w:semiHidden/>
    <w:unhideWhenUsed/>
    <w:rsid w:val="00D42A0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2A06"/>
    <w:rPr>
      <w:rFonts w:ascii="Lucida Grande" w:hAnsi="Lucida Grande"/>
      <w:sz w:val="18"/>
      <w:szCs w:val="18"/>
    </w:rPr>
  </w:style>
  <w:style w:type="character" w:styleId="Refdecomentario">
    <w:name w:val="annotation reference"/>
    <w:basedOn w:val="Fuentedeprrafopredeter"/>
    <w:uiPriority w:val="99"/>
    <w:semiHidden/>
    <w:unhideWhenUsed/>
    <w:rsid w:val="000961DD"/>
    <w:rPr>
      <w:sz w:val="16"/>
      <w:szCs w:val="16"/>
    </w:rPr>
  </w:style>
  <w:style w:type="paragraph" w:styleId="Textocomentario">
    <w:name w:val="annotation text"/>
    <w:basedOn w:val="Normal"/>
    <w:link w:val="TextocomentarioCar"/>
    <w:uiPriority w:val="99"/>
    <w:semiHidden/>
    <w:unhideWhenUsed/>
    <w:rsid w:val="000961DD"/>
    <w:rPr>
      <w:sz w:val="20"/>
      <w:szCs w:val="20"/>
    </w:rPr>
  </w:style>
  <w:style w:type="character" w:customStyle="1" w:styleId="TextocomentarioCar">
    <w:name w:val="Texto comentario Car"/>
    <w:basedOn w:val="Fuentedeprrafopredeter"/>
    <w:link w:val="Textocomentario"/>
    <w:uiPriority w:val="99"/>
    <w:semiHidden/>
    <w:rsid w:val="000961DD"/>
    <w:rPr>
      <w:sz w:val="20"/>
      <w:szCs w:val="20"/>
    </w:rPr>
  </w:style>
  <w:style w:type="paragraph" w:styleId="Asuntodelcomentario">
    <w:name w:val="annotation subject"/>
    <w:basedOn w:val="Textocomentario"/>
    <w:next w:val="Textocomentario"/>
    <w:link w:val="AsuntodelcomentarioCar"/>
    <w:uiPriority w:val="99"/>
    <w:semiHidden/>
    <w:unhideWhenUsed/>
    <w:rsid w:val="000961DD"/>
    <w:rPr>
      <w:b/>
      <w:bCs/>
    </w:rPr>
  </w:style>
  <w:style w:type="character" w:customStyle="1" w:styleId="AsuntodelcomentarioCar">
    <w:name w:val="Asunto del comentario Car"/>
    <w:basedOn w:val="TextocomentarioCar"/>
    <w:link w:val="Asuntodelcomentario"/>
    <w:uiPriority w:val="99"/>
    <w:semiHidden/>
    <w:rsid w:val="000961DD"/>
    <w:rPr>
      <w:b/>
      <w:bCs/>
      <w:sz w:val="20"/>
      <w:szCs w:val="20"/>
    </w:rPr>
  </w:style>
  <w:style w:type="paragraph" w:styleId="Revisin">
    <w:name w:val="Revision"/>
    <w:hidden/>
    <w:uiPriority w:val="99"/>
    <w:semiHidden/>
    <w:rsid w:val="006D0D76"/>
  </w:style>
  <w:style w:type="paragraph" w:styleId="Sinespaciado">
    <w:name w:val="No Spacing"/>
    <w:uiPriority w:val="1"/>
    <w:qFormat/>
    <w:rsid w:val="00D12986"/>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9638">
      <w:bodyDiv w:val="1"/>
      <w:marLeft w:val="0"/>
      <w:marRight w:val="0"/>
      <w:marTop w:val="0"/>
      <w:marBottom w:val="0"/>
      <w:divBdr>
        <w:top w:val="none" w:sz="0" w:space="0" w:color="auto"/>
        <w:left w:val="none" w:sz="0" w:space="0" w:color="auto"/>
        <w:bottom w:val="none" w:sz="0" w:space="0" w:color="auto"/>
        <w:right w:val="none" w:sz="0" w:space="0" w:color="auto"/>
      </w:divBdr>
    </w:div>
    <w:div w:id="345443821">
      <w:bodyDiv w:val="1"/>
      <w:marLeft w:val="0"/>
      <w:marRight w:val="0"/>
      <w:marTop w:val="0"/>
      <w:marBottom w:val="0"/>
      <w:divBdr>
        <w:top w:val="none" w:sz="0" w:space="0" w:color="auto"/>
        <w:left w:val="none" w:sz="0" w:space="0" w:color="auto"/>
        <w:bottom w:val="none" w:sz="0" w:space="0" w:color="auto"/>
        <w:right w:val="none" w:sz="0" w:space="0" w:color="auto"/>
      </w:divBdr>
    </w:div>
    <w:div w:id="591668504">
      <w:bodyDiv w:val="1"/>
      <w:marLeft w:val="0"/>
      <w:marRight w:val="0"/>
      <w:marTop w:val="0"/>
      <w:marBottom w:val="0"/>
      <w:divBdr>
        <w:top w:val="none" w:sz="0" w:space="0" w:color="auto"/>
        <w:left w:val="none" w:sz="0" w:space="0" w:color="auto"/>
        <w:bottom w:val="none" w:sz="0" w:space="0" w:color="auto"/>
        <w:right w:val="none" w:sz="0" w:space="0" w:color="auto"/>
      </w:divBdr>
      <w:divsChild>
        <w:div w:id="1573738512">
          <w:marLeft w:val="0"/>
          <w:marRight w:val="0"/>
          <w:marTop w:val="0"/>
          <w:marBottom w:val="0"/>
          <w:divBdr>
            <w:top w:val="none" w:sz="0" w:space="0" w:color="auto"/>
            <w:left w:val="none" w:sz="0" w:space="0" w:color="auto"/>
            <w:bottom w:val="none" w:sz="0" w:space="0" w:color="auto"/>
            <w:right w:val="none" w:sz="0" w:space="0" w:color="auto"/>
          </w:divBdr>
        </w:div>
        <w:div w:id="121774294">
          <w:marLeft w:val="0"/>
          <w:marRight w:val="0"/>
          <w:marTop w:val="0"/>
          <w:marBottom w:val="0"/>
          <w:divBdr>
            <w:top w:val="none" w:sz="0" w:space="0" w:color="auto"/>
            <w:left w:val="none" w:sz="0" w:space="0" w:color="auto"/>
            <w:bottom w:val="none" w:sz="0" w:space="0" w:color="auto"/>
            <w:right w:val="none" w:sz="0" w:space="0" w:color="auto"/>
          </w:divBdr>
        </w:div>
        <w:div w:id="1397049467">
          <w:marLeft w:val="0"/>
          <w:marRight w:val="0"/>
          <w:marTop w:val="0"/>
          <w:marBottom w:val="0"/>
          <w:divBdr>
            <w:top w:val="none" w:sz="0" w:space="0" w:color="auto"/>
            <w:left w:val="none" w:sz="0" w:space="0" w:color="auto"/>
            <w:bottom w:val="none" w:sz="0" w:space="0" w:color="auto"/>
            <w:right w:val="none" w:sz="0" w:space="0" w:color="auto"/>
          </w:divBdr>
        </w:div>
        <w:div w:id="1096096271">
          <w:marLeft w:val="0"/>
          <w:marRight w:val="0"/>
          <w:marTop w:val="0"/>
          <w:marBottom w:val="0"/>
          <w:divBdr>
            <w:top w:val="none" w:sz="0" w:space="0" w:color="auto"/>
            <w:left w:val="none" w:sz="0" w:space="0" w:color="auto"/>
            <w:bottom w:val="none" w:sz="0" w:space="0" w:color="auto"/>
            <w:right w:val="none" w:sz="0" w:space="0" w:color="auto"/>
          </w:divBdr>
        </w:div>
        <w:div w:id="908997159">
          <w:marLeft w:val="0"/>
          <w:marRight w:val="0"/>
          <w:marTop w:val="0"/>
          <w:marBottom w:val="0"/>
          <w:divBdr>
            <w:top w:val="none" w:sz="0" w:space="0" w:color="auto"/>
            <w:left w:val="none" w:sz="0" w:space="0" w:color="auto"/>
            <w:bottom w:val="none" w:sz="0" w:space="0" w:color="auto"/>
            <w:right w:val="none" w:sz="0" w:space="0" w:color="auto"/>
          </w:divBdr>
        </w:div>
      </w:divsChild>
    </w:div>
    <w:div w:id="679359734">
      <w:bodyDiv w:val="1"/>
      <w:marLeft w:val="0"/>
      <w:marRight w:val="0"/>
      <w:marTop w:val="0"/>
      <w:marBottom w:val="0"/>
      <w:divBdr>
        <w:top w:val="none" w:sz="0" w:space="0" w:color="auto"/>
        <w:left w:val="none" w:sz="0" w:space="0" w:color="auto"/>
        <w:bottom w:val="none" w:sz="0" w:space="0" w:color="auto"/>
        <w:right w:val="none" w:sz="0" w:space="0" w:color="auto"/>
      </w:divBdr>
    </w:div>
    <w:div w:id="722170574">
      <w:bodyDiv w:val="1"/>
      <w:marLeft w:val="0"/>
      <w:marRight w:val="0"/>
      <w:marTop w:val="0"/>
      <w:marBottom w:val="0"/>
      <w:divBdr>
        <w:top w:val="none" w:sz="0" w:space="0" w:color="auto"/>
        <w:left w:val="none" w:sz="0" w:space="0" w:color="auto"/>
        <w:bottom w:val="none" w:sz="0" w:space="0" w:color="auto"/>
        <w:right w:val="none" w:sz="0" w:space="0" w:color="auto"/>
      </w:divBdr>
    </w:div>
    <w:div w:id="873344913">
      <w:bodyDiv w:val="1"/>
      <w:marLeft w:val="0"/>
      <w:marRight w:val="0"/>
      <w:marTop w:val="0"/>
      <w:marBottom w:val="0"/>
      <w:divBdr>
        <w:top w:val="none" w:sz="0" w:space="0" w:color="auto"/>
        <w:left w:val="none" w:sz="0" w:space="0" w:color="auto"/>
        <w:bottom w:val="none" w:sz="0" w:space="0" w:color="auto"/>
        <w:right w:val="none" w:sz="0" w:space="0" w:color="auto"/>
      </w:divBdr>
    </w:div>
    <w:div w:id="1035346349">
      <w:bodyDiv w:val="1"/>
      <w:marLeft w:val="0"/>
      <w:marRight w:val="0"/>
      <w:marTop w:val="0"/>
      <w:marBottom w:val="0"/>
      <w:divBdr>
        <w:top w:val="none" w:sz="0" w:space="0" w:color="auto"/>
        <w:left w:val="none" w:sz="0" w:space="0" w:color="auto"/>
        <w:bottom w:val="none" w:sz="0" w:space="0" w:color="auto"/>
        <w:right w:val="none" w:sz="0" w:space="0" w:color="auto"/>
      </w:divBdr>
    </w:div>
    <w:div w:id="1202933680">
      <w:bodyDiv w:val="1"/>
      <w:marLeft w:val="0"/>
      <w:marRight w:val="0"/>
      <w:marTop w:val="0"/>
      <w:marBottom w:val="0"/>
      <w:divBdr>
        <w:top w:val="none" w:sz="0" w:space="0" w:color="auto"/>
        <w:left w:val="none" w:sz="0" w:space="0" w:color="auto"/>
        <w:bottom w:val="none" w:sz="0" w:space="0" w:color="auto"/>
        <w:right w:val="none" w:sz="0" w:space="0" w:color="auto"/>
      </w:divBdr>
    </w:div>
    <w:div w:id="1391460520">
      <w:bodyDiv w:val="1"/>
      <w:marLeft w:val="0"/>
      <w:marRight w:val="0"/>
      <w:marTop w:val="0"/>
      <w:marBottom w:val="0"/>
      <w:divBdr>
        <w:top w:val="none" w:sz="0" w:space="0" w:color="auto"/>
        <w:left w:val="none" w:sz="0" w:space="0" w:color="auto"/>
        <w:bottom w:val="none" w:sz="0" w:space="0" w:color="auto"/>
        <w:right w:val="none" w:sz="0" w:space="0" w:color="auto"/>
      </w:divBdr>
    </w:div>
    <w:div w:id="1512572685">
      <w:bodyDiv w:val="1"/>
      <w:marLeft w:val="0"/>
      <w:marRight w:val="0"/>
      <w:marTop w:val="0"/>
      <w:marBottom w:val="0"/>
      <w:divBdr>
        <w:top w:val="none" w:sz="0" w:space="0" w:color="auto"/>
        <w:left w:val="none" w:sz="0" w:space="0" w:color="auto"/>
        <w:bottom w:val="none" w:sz="0" w:space="0" w:color="auto"/>
        <w:right w:val="none" w:sz="0" w:space="0" w:color="auto"/>
      </w:divBdr>
    </w:div>
    <w:div w:id="1601765678">
      <w:bodyDiv w:val="1"/>
      <w:marLeft w:val="0"/>
      <w:marRight w:val="0"/>
      <w:marTop w:val="0"/>
      <w:marBottom w:val="0"/>
      <w:divBdr>
        <w:top w:val="none" w:sz="0" w:space="0" w:color="auto"/>
        <w:left w:val="none" w:sz="0" w:space="0" w:color="auto"/>
        <w:bottom w:val="none" w:sz="0" w:space="0" w:color="auto"/>
        <w:right w:val="none" w:sz="0" w:space="0" w:color="auto"/>
      </w:divBdr>
    </w:div>
    <w:div w:id="1620525942">
      <w:bodyDiv w:val="1"/>
      <w:marLeft w:val="0"/>
      <w:marRight w:val="0"/>
      <w:marTop w:val="0"/>
      <w:marBottom w:val="0"/>
      <w:divBdr>
        <w:top w:val="none" w:sz="0" w:space="0" w:color="auto"/>
        <w:left w:val="none" w:sz="0" w:space="0" w:color="auto"/>
        <w:bottom w:val="none" w:sz="0" w:space="0" w:color="auto"/>
        <w:right w:val="none" w:sz="0" w:space="0" w:color="auto"/>
      </w:divBdr>
    </w:div>
    <w:div w:id="1748185555">
      <w:bodyDiv w:val="1"/>
      <w:marLeft w:val="0"/>
      <w:marRight w:val="0"/>
      <w:marTop w:val="0"/>
      <w:marBottom w:val="0"/>
      <w:divBdr>
        <w:top w:val="none" w:sz="0" w:space="0" w:color="auto"/>
        <w:left w:val="none" w:sz="0" w:space="0" w:color="auto"/>
        <w:bottom w:val="none" w:sz="0" w:space="0" w:color="auto"/>
        <w:right w:val="none" w:sz="0" w:space="0" w:color="auto"/>
      </w:divBdr>
    </w:div>
    <w:div w:id="1864904694">
      <w:bodyDiv w:val="1"/>
      <w:marLeft w:val="0"/>
      <w:marRight w:val="0"/>
      <w:marTop w:val="0"/>
      <w:marBottom w:val="0"/>
      <w:divBdr>
        <w:top w:val="none" w:sz="0" w:space="0" w:color="auto"/>
        <w:left w:val="none" w:sz="0" w:space="0" w:color="auto"/>
        <w:bottom w:val="none" w:sz="0" w:space="0" w:color="auto"/>
        <w:right w:val="none" w:sz="0" w:space="0" w:color="auto"/>
      </w:divBdr>
      <w:divsChild>
        <w:div w:id="626280226">
          <w:marLeft w:val="0"/>
          <w:marRight w:val="0"/>
          <w:marTop w:val="0"/>
          <w:marBottom w:val="0"/>
          <w:divBdr>
            <w:top w:val="none" w:sz="0" w:space="0" w:color="auto"/>
            <w:left w:val="none" w:sz="0" w:space="0" w:color="auto"/>
            <w:bottom w:val="none" w:sz="0" w:space="0" w:color="auto"/>
            <w:right w:val="none" w:sz="0" w:space="0" w:color="auto"/>
          </w:divBdr>
          <w:divsChild>
            <w:div w:id="631180900">
              <w:marLeft w:val="0"/>
              <w:marRight w:val="0"/>
              <w:marTop w:val="0"/>
              <w:marBottom w:val="0"/>
              <w:divBdr>
                <w:top w:val="none" w:sz="0" w:space="0" w:color="auto"/>
                <w:left w:val="none" w:sz="0" w:space="0" w:color="auto"/>
                <w:bottom w:val="none" w:sz="0" w:space="0" w:color="auto"/>
                <w:right w:val="none" w:sz="0" w:space="0" w:color="auto"/>
              </w:divBdr>
              <w:divsChild>
                <w:div w:id="2012373083">
                  <w:marLeft w:val="0"/>
                  <w:marRight w:val="0"/>
                  <w:marTop w:val="0"/>
                  <w:marBottom w:val="0"/>
                  <w:divBdr>
                    <w:top w:val="none" w:sz="0" w:space="0" w:color="auto"/>
                    <w:left w:val="none" w:sz="0" w:space="0" w:color="auto"/>
                    <w:bottom w:val="none" w:sz="0" w:space="0" w:color="auto"/>
                    <w:right w:val="none" w:sz="0" w:space="0" w:color="auto"/>
                  </w:divBdr>
                  <w:divsChild>
                    <w:div w:id="1268928464">
                      <w:marLeft w:val="0"/>
                      <w:marRight w:val="0"/>
                      <w:marTop w:val="0"/>
                      <w:marBottom w:val="0"/>
                      <w:divBdr>
                        <w:top w:val="none" w:sz="0" w:space="0" w:color="auto"/>
                        <w:left w:val="none" w:sz="0" w:space="0" w:color="auto"/>
                        <w:bottom w:val="none" w:sz="0" w:space="0" w:color="auto"/>
                        <w:right w:val="none" w:sz="0" w:space="0" w:color="auto"/>
                      </w:divBdr>
                      <w:divsChild>
                        <w:div w:id="20831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29120">
              <w:marLeft w:val="0"/>
              <w:marRight w:val="0"/>
              <w:marTop w:val="0"/>
              <w:marBottom w:val="0"/>
              <w:divBdr>
                <w:top w:val="none" w:sz="0" w:space="0" w:color="auto"/>
                <w:left w:val="none" w:sz="0" w:space="0" w:color="auto"/>
                <w:bottom w:val="none" w:sz="0" w:space="0" w:color="auto"/>
                <w:right w:val="none" w:sz="0" w:space="0" w:color="auto"/>
              </w:divBdr>
            </w:div>
            <w:div w:id="628359851">
              <w:marLeft w:val="0"/>
              <w:marRight w:val="0"/>
              <w:marTop w:val="0"/>
              <w:marBottom w:val="0"/>
              <w:divBdr>
                <w:top w:val="none" w:sz="0" w:space="0" w:color="auto"/>
                <w:left w:val="none" w:sz="0" w:space="0" w:color="auto"/>
                <w:bottom w:val="none" w:sz="0" w:space="0" w:color="auto"/>
                <w:right w:val="none" w:sz="0" w:space="0" w:color="auto"/>
              </w:divBdr>
              <w:divsChild>
                <w:div w:id="1942756508">
                  <w:marLeft w:val="0"/>
                  <w:marRight w:val="0"/>
                  <w:marTop w:val="0"/>
                  <w:marBottom w:val="0"/>
                  <w:divBdr>
                    <w:top w:val="none" w:sz="0" w:space="0" w:color="auto"/>
                    <w:left w:val="none" w:sz="0" w:space="0" w:color="auto"/>
                    <w:bottom w:val="none" w:sz="0" w:space="0" w:color="auto"/>
                    <w:right w:val="none" w:sz="0" w:space="0" w:color="auto"/>
                  </w:divBdr>
                  <w:divsChild>
                    <w:div w:id="1450735584">
                      <w:marLeft w:val="0"/>
                      <w:marRight w:val="0"/>
                      <w:marTop w:val="0"/>
                      <w:marBottom w:val="0"/>
                      <w:divBdr>
                        <w:top w:val="none" w:sz="0" w:space="0" w:color="auto"/>
                        <w:left w:val="none" w:sz="0" w:space="0" w:color="auto"/>
                        <w:bottom w:val="none" w:sz="0" w:space="0" w:color="auto"/>
                        <w:right w:val="none" w:sz="0" w:space="0" w:color="auto"/>
                      </w:divBdr>
                      <w:divsChild>
                        <w:div w:id="1008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5278">
              <w:marLeft w:val="0"/>
              <w:marRight w:val="0"/>
              <w:marTop w:val="0"/>
              <w:marBottom w:val="0"/>
              <w:divBdr>
                <w:top w:val="none" w:sz="0" w:space="0" w:color="auto"/>
                <w:left w:val="none" w:sz="0" w:space="0" w:color="auto"/>
                <w:bottom w:val="none" w:sz="0" w:space="0" w:color="auto"/>
                <w:right w:val="none" w:sz="0" w:space="0" w:color="auto"/>
              </w:divBdr>
            </w:div>
            <w:div w:id="1141770685">
              <w:marLeft w:val="0"/>
              <w:marRight w:val="0"/>
              <w:marTop w:val="0"/>
              <w:marBottom w:val="0"/>
              <w:divBdr>
                <w:top w:val="none" w:sz="0" w:space="0" w:color="auto"/>
                <w:left w:val="none" w:sz="0" w:space="0" w:color="auto"/>
                <w:bottom w:val="none" w:sz="0" w:space="0" w:color="auto"/>
                <w:right w:val="none" w:sz="0" w:space="0" w:color="auto"/>
              </w:divBdr>
              <w:divsChild>
                <w:div w:id="1576087100">
                  <w:marLeft w:val="0"/>
                  <w:marRight w:val="0"/>
                  <w:marTop w:val="0"/>
                  <w:marBottom w:val="0"/>
                  <w:divBdr>
                    <w:top w:val="none" w:sz="0" w:space="0" w:color="auto"/>
                    <w:left w:val="none" w:sz="0" w:space="0" w:color="auto"/>
                    <w:bottom w:val="none" w:sz="0" w:space="0" w:color="auto"/>
                    <w:right w:val="none" w:sz="0" w:space="0" w:color="auto"/>
                  </w:divBdr>
                  <w:divsChild>
                    <w:div w:id="205679816">
                      <w:marLeft w:val="0"/>
                      <w:marRight w:val="0"/>
                      <w:marTop w:val="0"/>
                      <w:marBottom w:val="0"/>
                      <w:divBdr>
                        <w:top w:val="none" w:sz="0" w:space="0" w:color="auto"/>
                        <w:left w:val="none" w:sz="0" w:space="0" w:color="auto"/>
                        <w:bottom w:val="none" w:sz="0" w:space="0" w:color="auto"/>
                        <w:right w:val="none" w:sz="0" w:space="0" w:color="auto"/>
                      </w:divBdr>
                      <w:divsChild>
                        <w:div w:id="15691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563168">
      <w:bodyDiv w:val="1"/>
      <w:marLeft w:val="0"/>
      <w:marRight w:val="0"/>
      <w:marTop w:val="0"/>
      <w:marBottom w:val="0"/>
      <w:divBdr>
        <w:top w:val="none" w:sz="0" w:space="0" w:color="auto"/>
        <w:left w:val="none" w:sz="0" w:space="0" w:color="auto"/>
        <w:bottom w:val="none" w:sz="0" w:space="0" w:color="auto"/>
        <w:right w:val="none" w:sz="0" w:space="0" w:color="auto"/>
      </w:divBdr>
    </w:div>
    <w:div w:id="2086142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valt.es/sala-de-prens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uente@gesval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gesvalt.es/informes/evolucion-suelos-agricolas-202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0976-B503-41DE-AA2D-2A973491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930</Words>
  <Characters>5119</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 Santamaria</dc:creator>
  <cp:keywords/>
  <dc:description/>
  <cp:lastModifiedBy>Daniel Santiago Durán</cp:lastModifiedBy>
  <cp:revision>5</cp:revision>
  <cp:lastPrinted>2021-04-15T11:43:00Z</cp:lastPrinted>
  <dcterms:created xsi:type="dcterms:W3CDTF">2021-04-15T13:48:00Z</dcterms:created>
  <dcterms:modified xsi:type="dcterms:W3CDTF">2021-05-06T08:23:00Z</dcterms:modified>
</cp:coreProperties>
</file>