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6EDA" w14:textId="44716661" w:rsidR="00A0642D" w:rsidRPr="000167CC" w:rsidRDefault="00A0642D" w:rsidP="00A0642D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Helvetica Neue" w:hAnsi="Helvetica Neue" w:cs="Times"/>
          <w:sz w:val="22"/>
          <w:szCs w:val="22"/>
          <w:u w:val="single"/>
        </w:rPr>
      </w:pPr>
      <w:r w:rsidRPr="000167CC">
        <w:rPr>
          <w:rFonts w:ascii="Helvetica Neue" w:hAnsi="Helvetica Neue" w:cs="Times"/>
          <w:sz w:val="22"/>
          <w:szCs w:val="22"/>
          <w:u w:val="single"/>
        </w:rPr>
        <w:t>Informe de Vivien</w:t>
      </w:r>
      <w:r w:rsidR="00AF3817" w:rsidRPr="000167CC">
        <w:rPr>
          <w:rFonts w:ascii="Helvetica Neue" w:hAnsi="Helvetica Neue" w:cs="Times"/>
          <w:sz w:val="22"/>
          <w:szCs w:val="22"/>
          <w:u w:val="single"/>
        </w:rPr>
        <w:t xml:space="preserve">da </w:t>
      </w:r>
      <w:proofErr w:type="spellStart"/>
      <w:r w:rsidR="00AF3817" w:rsidRPr="000167CC">
        <w:rPr>
          <w:rFonts w:ascii="Helvetica Neue" w:hAnsi="Helvetica Neue" w:cs="Times"/>
          <w:sz w:val="22"/>
          <w:szCs w:val="22"/>
          <w:u w:val="single"/>
        </w:rPr>
        <w:t>Gesvalt</w:t>
      </w:r>
      <w:proofErr w:type="spellEnd"/>
      <w:r w:rsidR="00AF3817" w:rsidRPr="000167CC">
        <w:rPr>
          <w:rFonts w:ascii="Helvetica Neue" w:hAnsi="Helvetica Neue" w:cs="Times"/>
          <w:sz w:val="22"/>
          <w:szCs w:val="22"/>
          <w:u w:val="single"/>
        </w:rPr>
        <w:t xml:space="preserve"> </w:t>
      </w:r>
      <w:r w:rsidR="00927EAF">
        <w:rPr>
          <w:rFonts w:ascii="Helvetica Neue" w:hAnsi="Helvetica Neue" w:cs="Times"/>
          <w:sz w:val="22"/>
          <w:szCs w:val="22"/>
          <w:u w:val="single"/>
        </w:rPr>
        <w:t>primer</w:t>
      </w:r>
      <w:r w:rsidR="002B1F4A" w:rsidRPr="000167CC">
        <w:rPr>
          <w:rFonts w:ascii="Helvetica Neue" w:hAnsi="Helvetica Neue" w:cs="Times"/>
          <w:sz w:val="22"/>
          <w:szCs w:val="22"/>
          <w:u w:val="single"/>
        </w:rPr>
        <w:t xml:space="preserve"> trimestre 202</w:t>
      </w:r>
      <w:r w:rsidR="00927EAF">
        <w:rPr>
          <w:rFonts w:ascii="Helvetica Neue" w:hAnsi="Helvetica Neue" w:cs="Times"/>
          <w:sz w:val="22"/>
          <w:szCs w:val="22"/>
          <w:u w:val="single"/>
        </w:rPr>
        <w:t>2</w:t>
      </w:r>
    </w:p>
    <w:p w14:paraId="54D5A519" w14:textId="178CF8E2" w:rsidR="00DA4A72" w:rsidRPr="000167CC" w:rsidRDefault="002B1F4A" w:rsidP="000970C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Helvetica Neue" w:hAnsi="Helvetica Neue" w:cs="Times"/>
          <w:b/>
          <w:sz w:val="40"/>
          <w:szCs w:val="40"/>
        </w:rPr>
      </w:pPr>
      <w:r w:rsidRPr="000167CC">
        <w:rPr>
          <w:rFonts w:ascii="Helvetica Neue" w:hAnsi="Helvetica Neue" w:cs="Times"/>
          <w:b/>
          <w:sz w:val="40"/>
          <w:szCs w:val="40"/>
        </w:rPr>
        <w:t xml:space="preserve">El </w:t>
      </w:r>
      <w:r w:rsidR="00826BEE" w:rsidRPr="000167CC">
        <w:rPr>
          <w:rFonts w:ascii="Helvetica Neue" w:hAnsi="Helvetica Neue" w:cs="Times"/>
          <w:b/>
          <w:sz w:val="40"/>
          <w:szCs w:val="40"/>
        </w:rPr>
        <w:t xml:space="preserve">precio de la vivienda </w:t>
      </w:r>
      <w:r w:rsidR="005B5DB0">
        <w:rPr>
          <w:rFonts w:ascii="Helvetica Neue" w:hAnsi="Helvetica Neue" w:cs="Times"/>
          <w:b/>
          <w:sz w:val="40"/>
          <w:szCs w:val="40"/>
        </w:rPr>
        <w:t>encadena su cuarto trimestre consecutivo con subidas por encima del 3%</w:t>
      </w:r>
    </w:p>
    <w:p w14:paraId="63903F92" w14:textId="78F05D86" w:rsidR="00C34AE9" w:rsidRDefault="00052522" w:rsidP="00915677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Helvetica Neue" w:hAnsi="Helvetica Neue" w:cs="Times"/>
          <w:b/>
          <w:sz w:val="20"/>
          <w:szCs w:val="20"/>
        </w:rPr>
      </w:pPr>
      <w:bookmarkStart w:id="0" w:name="_Hlk12442681"/>
      <w:r w:rsidRPr="00BD1287">
        <w:rPr>
          <w:rFonts w:ascii="Helvetica Neue" w:hAnsi="Helvetica Neue" w:cs="Times"/>
          <w:b/>
          <w:sz w:val="20"/>
          <w:szCs w:val="20"/>
        </w:rPr>
        <w:t>En los primeros tres meses de 2022, el precio residencial se ha incrementado un 3,7%</w:t>
      </w:r>
      <w:r w:rsidR="00F122ED" w:rsidRPr="00BD1287">
        <w:rPr>
          <w:rFonts w:ascii="Helvetica Neue" w:hAnsi="Helvetica Neue" w:cs="Times"/>
          <w:b/>
          <w:sz w:val="20"/>
          <w:szCs w:val="20"/>
        </w:rPr>
        <w:t xml:space="preserve"> respecto al mismo trimestre del año anterior</w:t>
      </w:r>
    </w:p>
    <w:p w14:paraId="2CC661C2" w14:textId="77777777" w:rsidR="00BD1287" w:rsidRPr="00BD1287" w:rsidRDefault="00BD1287" w:rsidP="00915677">
      <w:pPr>
        <w:pStyle w:val="Prrafodelista"/>
        <w:spacing w:line="276" w:lineRule="auto"/>
        <w:ind w:left="580"/>
        <w:jc w:val="both"/>
        <w:rPr>
          <w:rFonts w:ascii="Helvetica Neue" w:hAnsi="Helvetica Neue" w:cs="Times"/>
          <w:b/>
          <w:sz w:val="20"/>
          <w:szCs w:val="20"/>
        </w:rPr>
      </w:pPr>
    </w:p>
    <w:p w14:paraId="3EEA2D6F" w14:textId="3A2A180D" w:rsidR="0092175D" w:rsidRDefault="00645DAC" w:rsidP="00D701A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Helvetica Neue" w:hAnsi="Helvetica Neue" w:cs="Times"/>
          <w:b/>
          <w:sz w:val="20"/>
          <w:szCs w:val="20"/>
        </w:rPr>
      </w:pPr>
      <w:r w:rsidRPr="00C15175">
        <w:rPr>
          <w:rFonts w:ascii="Helvetica Neue" w:hAnsi="Helvetica Neue" w:cs="Times"/>
          <w:b/>
          <w:sz w:val="20"/>
          <w:szCs w:val="20"/>
        </w:rPr>
        <w:t>Con este aumento, el precio de la vivienda se sitúa en 1.4</w:t>
      </w:r>
      <w:r w:rsidR="003015C0" w:rsidRPr="00C15175">
        <w:rPr>
          <w:rFonts w:ascii="Helvetica Neue" w:hAnsi="Helvetica Neue" w:cs="Times"/>
          <w:b/>
          <w:sz w:val="20"/>
          <w:szCs w:val="20"/>
        </w:rPr>
        <w:t>3</w:t>
      </w:r>
      <w:r w:rsidRPr="00C15175">
        <w:rPr>
          <w:rFonts w:ascii="Helvetica Neue" w:hAnsi="Helvetica Neue" w:cs="Times"/>
          <w:b/>
          <w:sz w:val="20"/>
          <w:szCs w:val="20"/>
        </w:rPr>
        <w:t xml:space="preserve">9 </w:t>
      </w:r>
      <w:r w:rsidRPr="00C15175">
        <w:rPr>
          <w:rFonts w:ascii="Times New Roman" w:hAnsi="Times New Roman" w:cs="Times New Roman"/>
          <w:b/>
          <w:sz w:val="20"/>
          <w:szCs w:val="20"/>
        </w:rPr>
        <w:t>€</w:t>
      </w:r>
      <w:r w:rsidRPr="00C15175">
        <w:rPr>
          <w:rFonts w:ascii="Helvetica Neue" w:hAnsi="Helvetica Neue" w:cs="Times"/>
          <w:b/>
          <w:sz w:val="20"/>
          <w:szCs w:val="20"/>
        </w:rPr>
        <w:t>/m</w:t>
      </w:r>
      <w:r w:rsidRPr="00C15175">
        <w:rPr>
          <w:rFonts w:ascii="Helvetica Neue" w:hAnsi="Helvetica Neue" w:cs="Times"/>
          <w:b/>
          <w:sz w:val="20"/>
          <w:szCs w:val="20"/>
          <w:vertAlign w:val="superscript"/>
        </w:rPr>
        <w:t>2</w:t>
      </w:r>
      <w:r w:rsidR="00B11914" w:rsidRPr="00C15175">
        <w:rPr>
          <w:rFonts w:ascii="Helvetica Neue" w:hAnsi="Helvetica Neue" w:cs="Times"/>
          <w:b/>
          <w:sz w:val="20"/>
          <w:szCs w:val="20"/>
        </w:rPr>
        <w:t xml:space="preserve">, </w:t>
      </w:r>
      <w:r w:rsidR="00BD1287" w:rsidRPr="00C15175">
        <w:rPr>
          <w:rFonts w:ascii="Helvetica Neue" w:hAnsi="Helvetica Neue" w:cs="Times"/>
          <w:b/>
          <w:sz w:val="20"/>
          <w:szCs w:val="20"/>
        </w:rPr>
        <w:t>tras tres aumentos consecutiv</w:t>
      </w:r>
      <w:r w:rsidR="00A6718A" w:rsidRPr="00C15175">
        <w:rPr>
          <w:rFonts w:ascii="Helvetica Neue" w:hAnsi="Helvetica Neue" w:cs="Times"/>
          <w:b/>
          <w:sz w:val="20"/>
          <w:szCs w:val="20"/>
        </w:rPr>
        <w:t>o</w:t>
      </w:r>
      <w:r w:rsidR="00BD1287" w:rsidRPr="00C15175">
        <w:rPr>
          <w:rFonts w:ascii="Helvetica Neue" w:hAnsi="Helvetica Neue" w:cs="Times"/>
          <w:b/>
          <w:sz w:val="20"/>
          <w:szCs w:val="20"/>
        </w:rPr>
        <w:t xml:space="preserve">s del 3,7%, 3,9% y 3,3% </w:t>
      </w:r>
    </w:p>
    <w:p w14:paraId="09BD77B0" w14:textId="77777777" w:rsidR="00C15175" w:rsidRPr="00C15175" w:rsidRDefault="00C15175" w:rsidP="00C15175">
      <w:pPr>
        <w:pStyle w:val="Prrafodelista"/>
        <w:rPr>
          <w:rFonts w:ascii="Helvetica Neue" w:hAnsi="Helvetica Neue" w:cs="Times"/>
          <w:b/>
          <w:sz w:val="20"/>
          <w:szCs w:val="20"/>
        </w:rPr>
      </w:pPr>
    </w:p>
    <w:p w14:paraId="06A63E36" w14:textId="43F55946" w:rsidR="0092175D" w:rsidRPr="000167CC" w:rsidRDefault="00915677" w:rsidP="000F400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Helvetica Neue" w:hAnsi="Helvetica Neue" w:cs="Times"/>
          <w:b/>
          <w:sz w:val="20"/>
          <w:szCs w:val="20"/>
        </w:rPr>
      </w:pPr>
      <w:r>
        <w:rPr>
          <w:rFonts w:ascii="Helvetica Neue" w:hAnsi="Helvetica Neue" w:cs="Times"/>
          <w:b/>
          <w:sz w:val="20"/>
          <w:szCs w:val="20"/>
        </w:rPr>
        <w:t>En este contexto</w:t>
      </w:r>
      <w:r w:rsidR="0092175D" w:rsidRPr="000167CC">
        <w:rPr>
          <w:rFonts w:ascii="Helvetica Neue" w:hAnsi="Helvetica Neue" w:cs="Times"/>
          <w:b/>
          <w:sz w:val="20"/>
          <w:szCs w:val="20"/>
        </w:rPr>
        <w:t>, una vivienda con un valor promedio y una superficie de 90 m² tendría un precio que ascendería hasta los 1</w:t>
      </w:r>
      <w:r w:rsidR="00580B4B">
        <w:rPr>
          <w:rFonts w:ascii="Helvetica Neue" w:hAnsi="Helvetica Neue" w:cs="Times"/>
          <w:b/>
          <w:sz w:val="20"/>
          <w:szCs w:val="20"/>
        </w:rPr>
        <w:t>29</w:t>
      </w:r>
      <w:r w:rsidR="0092175D" w:rsidRPr="000167CC">
        <w:rPr>
          <w:rFonts w:ascii="Helvetica Neue" w:hAnsi="Helvetica Neue" w:cs="Times"/>
          <w:b/>
          <w:sz w:val="20"/>
          <w:szCs w:val="20"/>
        </w:rPr>
        <w:t>.</w:t>
      </w:r>
      <w:r w:rsidR="00580B4B">
        <w:rPr>
          <w:rFonts w:ascii="Helvetica Neue" w:hAnsi="Helvetica Neue" w:cs="Times"/>
          <w:b/>
          <w:sz w:val="20"/>
          <w:szCs w:val="20"/>
        </w:rPr>
        <w:t>5</w:t>
      </w:r>
      <w:r w:rsidR="0092175D" w:rsidRPr="000167CC">
        <w:rPr>
          <w:rFonts w:ascii="Helvetica Neue" w:hAnsi="Helvetica Neue" w:cs="Times"/>
          <w:b/>
          <w:sz w:val="20"/>
          <w:szCs w:val="20"/>
        </w:rPr>
        <w:t>10</w:t>
      </w:r>
      <w:r w:rsidR="0092175D" w:rsidRPr="000167CC">
        <w:rPr>
          <w:rFonts w:ascii="Times New Roman" w:hAnsi="Times New Roman" w:cs="Times New Roman"/>
          <w:b/>
          <w:sz w:val="20"/>
          <w:szCs w:val="20"/>
        </w:rPr>
        <w:t>€</w:t>
      </w:r>
      <w:r w:rsidR="0092175D" w:rsidRPr="000167CC">
        <w:rPr>
          <w:rFonts w:ascii="Helvetica Neue" w:hAnsi="Helvetica Neue" w:cs="Times"/>
          <w:b/>
          <w:sz w:val="20"/>
          <w:szCs w:val="20"/>
        </w:rPr>
        <w:t xml:space="preserve">, </w:t>
      </w:r>
      <w:r w:rsidR="00651E95">
        <w:rPr>
          <w:rFonts w:ascii="Helvetica Neue" w:hAnsi="Helvetica Neue" w:cs="Times"/>
          <w:b/>
          <w:sz w:val="20"/>
          <w:szCs w:val="20"/>
        </w:rPr>
        <w:t xml:space="preserve">aunque puede </w:t>
      </w:r>
      <w:r w:rsidR="001118B8">
        <w:rPr>
          <w:rFonts w:ascii="Helvetica Neue" w:hAnsi="Helvetica Neue" w:cs="Times"/>
          <w:b/>
          <w:sz w:val="20"/>
          <w:szCs w:val="20"/>
        </w:rPr>
        <w:t>alcanzar los 219.600</w:t>
      </w:r>
      <w:r w:rsidR="008210C4" w:rsidRPr="00C15175">
        <w:rPr>
          <w:rFonts w:ascii="Times New Roman" w:hAnsi="Times New Roman" w:cs="Times New Roman"/>
          <w:b/>
          <w:sz w:val="20"/>
          <w:szCs w:val="20"/>
        </w:rPr>
        <w:t>€</w:t>
      </w:r>
      <w:r w:rsidR="001118B8">
        <w:rPr>
          <w:rFonts w:ascii="Helvetica Neue" w:hAnsi="Helvetica Neue" w:cs="Times"/>
          <w:b/>
          <w:sz w:val="20"/>
          <w:szCs w:val="20"/>
        </w:rPr>
        <w:t xml:space="preserve"> en Baleares</w:t>
      </w:r>
      <w:r w:rsidR="00691162">
        <w:rPr>
          <w:rFonts w:ascii="Helvetica Neue" w:hAnsi="Helvetica Neue" w:cs="Times"/>
          <w:b/>
          <w:sz w:val="20"/>
          <w:szCs w:val="20"/>
        </w:rPr>
        <w:t>, la región con el precio más elevado</w:t>
      </w:r>
      <w:r w:rsidR="001118B8">
        <w:rPr>
          <w:rFonts w:ascii="Helvetica Neue" w:hAnsi="Helvetica Neue" w:cs="Times"/>
          <w:b/>
          <w:sz w:val="20"/>
          <w:szCs w:val="20"/>
        </w:rPr>
        <w:t xml:space="preserve"> </w:t>
      </w:r>
    </w:p>
    <w:p w14:paraId="51A9C8EC" w14:textId="77777777" w:rsidR="00B11914" w:rsidRPr="000167CC" w:rsidRDefault="00B11914" w:rsidP="00B11914">
      <w:pPr>
        <w:pStyle w:val="Prrafodelista"/>
        <w:spacing w:line="276" w:lineRule="auto"/>
        <w:ind w:left="580"/>
        <w:jc w:val="both"/>
        <w:rPr>
          <w:rFonts w:ascii="Helvetica Neue" w:hAnsi="Helvetica Neue" w:cs="Times"/>
          <w:b/>
          <w:sz w:val="20"/>
          <w:szCs w:val="20"/>
        </w:rPr>
      </w:pPr>
    </w:p>
    <w:p w14:paraId="3A5F3FCF" w14:textId="5B98AF46" w:rsidR="00890C6C" w:rsidRPr="000167CC" w:rsidRDefault="008F075E" w:rsidP="000F400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Helvetica Neue" w:hAnsi="Helvetica Neue" w:cs="Times"/>
          <w:b/>
          <w:sz w:val="20"/>
          <w:szCs w:val="20"/>
        </w:rPr>
      </w:pPr>
      <w:r>
        <w:rPr>
          <w:rFonts w:ascii="Helvetica Neue" w:hAnsi="Helvetica Neue" w:cs="Times"/>
          <w:b/>
          <w:sz w:val="20"/>
          <w:szCs w:val="20"/>
        </w:rPr>
        <w:t xml:space="preserve">El mayor incremento, por comunidades autónomas, se ha registrado en Canarias, </w:t>
      </w:r>
      <w:r w:rsidR="005102CD">
        <w:rPr>
          <w:rFonts w:ascii="Helvetica Neue" w:hAnsi="Helvetica Neue" w:cs="Times"/>
          <w:b/>
          <w:sz w:val="20"/>
          <w:szCs w:val="20"/>
        </w:rPr>
        <w:t xml:space="preserve">con una variación del 5,4%, seguida de </w:t>
      </w:r>
      <w:r w:rsidR="00B11914" w:rsidRPr="000167CC">
        <w:rPr>
          <w:rFonts w:ascii="Helvetica Neue" w:hAnsi="Helvetica Neue" w:cs="Times"/>
          <w:b/>
          <w:sz w:val="20"/>
          <w:szCs w:val="20"/>
        </w:rPr>
        <w:t xml:space="preserve">Baleares, con </w:t>
      </w:r>
      <w:r w:rsidR="00AE4FDB">
        <w:rPr>
          <w:rFonts w:ascii="Helvetica Neue" w:hAnsi="Helvetica Neue" w:cs="Times"/>
          <w:b/>
          <w:sz w:val="20"/>
          <w:szCs w:val="20"/>
        </w:rPr>
        <w:t>aumento del</w:t>
      </w:r>
      <w:r w:rsidR="00B11914" w:rsidRPr="000167CC">
        <w:rPr>
          <w:rFonts w:ascii="Helvetica Neue" w:hAnsi="Helvetica Neue" w:cs="Times"/>
          <w:b/>
          <w:sz w:val="20"/>
          <w:szCs w:val="20"/>
        </w:rPr>
        <w:t xml:space="preserve"> 5</w:t>
      </w:r>
      <w:r w:rsidR="00686A00">
        <w:rPr>
          <w:rFonts w:ascii="Helvetica Neue" w:hAnsi="Helvetica Neue" w:cs="Times"/>
          <w:b/>
          <w:sz w:val="20"/>
          <w:szCs w:val="20"/>
        </w:rPr>
        <w:t>,0</w:t>
      </w:r>
      <w:r w:rsidR="00B11914" w:rsidRPr="000167CC">
        <w:rPr>
          <w:rFonts w:ascii="Helvetica Neue" w:hAnsi="Helvetica Neue" w:cs="Times"/>
          <w:b/>
          <w:sz w:val="20"/>
          <w:szCs w:val="20"/>
        </w:rPr>
        <w:t>%</w:t>
      </w:r>
      <w:r w:rsidR="00FD30FB">
        <w:rPr>
          <w:rFonts w:ascii="Helvetica Neue" w:hAnsi="Helvetica Neue" w:cs="Times"/>
          <w:b/>
          <w:sz w:val="20"/>
          <w:szCs w:val="20"/>
        </w:rPr>
        <w:t xml:space="preserve"> y La Rioja, con un 4,6%</w:t>
      </w:r>
    </w:p>
    <w:p w14:paraId="020B4669" w14:textId="77777777" w:rsidR="00514B0B" w:rsidRPr="000167CC" w:rsidRDefault="00514B0B" w:rsidP="000F4000">
      <w:pPr>
        <w:pStyle w:val="Prrafodelista"/>
        <w:jc w:val="both"/>
        <w:rPr>
          <w:rFonts w:ascii="Helvetica Neue" w:hAnsi="Helvetica Neue" w:cs="Times"/>
          <w:b/>
          <w:sz w:val="20"/>
          <w:szCs w:val="20"/>
        </w:rPr>
      </w:pPr>
    </w:p>
    <w:bookmarkEnd w:id="0"/>
    <w:p w14:paraId="541163BA" w14:textId="2D5039D2" w:rsidR="00C07194" w:rsidRPr="00C07194" w:rsidRDefault="00C07194" w:rsidP="00C071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Helvetica Neue" w:hAnsi="Helvetica Neue" w:cs="Times"/>
          <w:sz w:val="20"/>
          <w:szCs w:val="20"/>
        </w:rPr>
      </w:pPr>
      <w:r>
        <w:rPr>
          <w:rFonts w:ascii="Helvetica Neue" w:hAnsi="Helvetica Neue" w:cs="Times"/>
          <w:sz w:val="20"/>
          <w:szCs w:val="20"/>
        </w:rPr>
        <w:t>Puedes descargar el info</w:t>
      </w:r>
      <w:r w:rsidR="00341F3B">
        <w:rPr>
          <w:rFonts w:ascii="Helvetica Neue" w:hAnsi="Helvetica Neue" w:cs="Times"/>
          <w:sz w:val="20"/>
          <w:szCs w:val="20"/>
        </w:rPr>
        <w:t>r</w:t>
      </w:r>
      <w:r>
        <w:rPr>
          <w:rFonts w:ascii="Helvetica Neue" w:hAnsi="Helvetica Neue" w:cs="Times"/>
          <w:sz w:val="20"/>
          <w:szCs w:val="20"/>
        </w:rPr>
        <w:t>me</w:t>
      </w:r>
      <w:r w:rsidR="00341F3B">
        <w:rPr>
          <w:rFonts w:ascii="Helvetica Neue" w:hAnsi="Helvetica Neue" w:cs="Times"/>
          <w:sz w:val="20"/>
          <w:szCs w:val="20"/>
        </w:rPr>
        <w:t xml:space="preserve"> completo </w:t>
      </w:r>
      <w:hyperlink r:id="rId11" w:history="1">
        <w:r w:rsidR="00341F3B" w:rsidRPr="00923E93">
          <w:rPr>
            <w:rStyle w:val="Hipervnculo"/>
            <w:rFonts w:ascii="Helvetica Neue" w:hAnsi="Helvetica Neue" w:cs="Times"/>
            <w:sz w:val="20"/>
            <w:szCs w:val="20"/>
          </w:rPr>
          <w:t>aquí</w:t>
        </w:r>
      </w:hyperlink>
      <w:r w:rsidR="00341F3B">
        <w:rPr>
          <w:rFonts w:ascii="Helvetica Neue" w:hAnsi="Helvetica Neue" w:cs="Times"/>
          <w:sz w:val="20"/>
          <w:szCs w:val="20"/>
        </w:rPr>
        <w:t>, además de</w:t>
      </w:r>
      <w:r w:rsidR="00AD6E95" w:rsidRPr="000167CC">
        <w:rPr>
          <w:rFonts w:ascii="Helvetica Neue" w:hAnsi="Helvetica Neue" w:cs="Times"/>
          <w:sz w:val="20"/>
          <w:szCs w:val="20"/>
        </w:rPr>
        <w:t xml:space="preserve"> encontrar esta noticia y otras en </w:t>
      </w:r>
      <w:hyperlink r:id="rId12" w:history="1">
        <w:r w:rsidR="00AD6E95" w:rsidRPr="000167CC">
          <w:rPr>
            <w:rStyle w:val="Hipervnculo"/>
            <w:rFonts w:ascii="Helvetica Neue" w:hAnsi="Helvetica Neue" w:cs="Times"/>
            <w:sz w:val="20"/>
            <w:szCs w:val="20"/>
          </w:rPr>
          <w:t>nuestra web</w:t>
        </w:r>
      </w:hyperlink>
      <w:r w:rsidR="00AD6E95" w:rsidRPr="000167CC">
        <w:rPr>
          <w:rFonts w:ascii="Helvetica Neue" w:hAnsi="Helvetica Neue" w:cs="Times"/>
          <w:color w:val="0B4CB4"/>
          <w:sz w:val="20"/>
          <w:szCs w:val="20"/>
        </w:rPr>
        <w:t xml:space="preserve"> </w:t>
      </w:r>
      <w:r w:rsidR="00AD6E95" w:rsidRPr="000167CC">
        <w:rPr>
          <w:rFonts w:ascii="Helvetica Neue" w:hAnsi="Helvetica Neue" w:cs="Times"/>
          <w:sz w:val="20"/>
          <w:szCs w:val="20"/>
        </w:rPr>
        <w:t xml:space="preserve">y en </w:t>
      </w:r>
      <w:r w:rsidR="00AD6E95" w:rsidRPr="000167CC">
        <w:rPr>
          <w:rFonts w:ascii="Helvetica Neue" w:hAnsi="Helvetica Neue" w:cs="Times"/>
          <w:color w:val="0B4CB4"/>
          <w:sz w:val="20"/>
          <w:szCs w:val="20"/>
        </w:rPr>
        <w:t>@gesvalt</w:t>
      </w:r>
    </w:p>
    <w:p w14:paraId="0900BE4A" w14:textId="51B49BCC" w:rsidR="00A97199" w:rsidRPr="00C15175" w:rsidRDefault="00FA6CB7" w:rsidP="009E57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 w:rsidRPr="00C15175">
        <w:rPr>
          <w:rFonts w:ascii="Helvetica Neue" w:hAnsi="Helvetica Neue" w:cs="Baghdad"/>
          <w:b/>
          <w:bCs/>
          <w:sz w:val="20"/>
          <w:szCs w:val="20"/>
        </w:rPr>
        <w:t>Madrid</w:t>
      </w:r>
      <w:r w:rsidR="00920080" w:rsidRPr="00C15175">
        <w:rPr>
          <w:rFonts w:ascii="Helvetica Neue" w:hAnsi="Helvetica Neue" w:cs="Baghdad"/>
          <w:b/>
          <w:bCs/>
          <w:sz w:val="20"/>
          <w:szCs w:val="20"/>
        </w:rPr>
        <w:t xml:space="preserve">, </w:t>
      </w:r>
      <w:r w:rsidR="005C0E46">
        <w:rPr>
          <w:rFonts w:ascii="Helvetica Neue" w:hAnsi="Helvetica Neue" w:cs="Baghdad"/>
          <w:b/>
          <w:bCs/>
          <w:sz w:val="20"/>
          <w:szCs w:val="20"/>
        </w:rPr>
        <w:t>4</w:t>
      </w:r>
      <w:r w:rsidR="00715722" w:rsidRPr="00C15175">
        <w:rPr>
          <w:rFonts w:ascii="Helvetica Neue" w:hAnsi="Helvetica Neue" w:cs="Baghdad"/>
          <w:b/>
          <w:bCs/>
          <w:sz w:val="20"/>
          <w:szCs w:val="20"/>
        </w:rPr>
        <w:t xml:space="preserve"> de </w:t>
      </w:r>
      <w:r w:rsidR="005C0E46">
        <w:rPr>
          <w:rFonts w:ascii="Helvetica Neue" w:hAnsi="Helvetica Neue" w:cs="Baghdad"/>
          <w:b/>
          <w:bCs/>
          <w:sz w:val="20"/>
          <w:szCs w:val="20"/>
        </w:rPr>
        <w:t>abril</w:t>
      </w:r>
      <w:r w:rsidR="00F96600" w:rsidRPr="00C15175">
        <w:rPr>
          <w:rFonts w:ascii="Helvetica Neue" w:hAnsi="Helvetica Neue" w:cs="Baghdad"/>
          <w:b/>
          <w:bCs/>
          <w:sz w:val="20"/>
          <w:szCs w:val="20"/>
        </w:rPr>
        <w:t xml:space="preserve"> de 202</w:t>
      </w:r>
      <w:r w:rsidR="00345333" w:rsidRPr="00C15175">
        <w:rPr>
          <w:rFonts w:ascii="Helvetica Neue" w:hAnsi="Helvetica Neue" w:cs="Baghdad"/>
          <w:b/>
          <w:bCs/>
          <w:sz w:val="20"/>
          <w:szCs w:val="20"/>
        </w:rPr>
        <w:t>2</w:t>
      </w:r>
      <w:r w:rsidR="00893757" w:rsidRPr="00C15175">
        <w:rPr>
          <w:rFonts w:ascii="Helvetica Neue" w:hAnsi="Helvetica Neue" w:cs="Baghdad"/>
          <w:b/>
          <w:bCs/>
          <w:sz w:val="20"/>
          <w:szCs w:val="20"/>
        </w:rPr>
        <w:t xml:space="preserve"> </w:t>
      </w:r>
      <w:r w:rsidR="00F746D7" w:rsidRPr="00C15175">
        <w:rPr>
          <w:rFonts w:ascii="Helvetica Neue" w:hAnsi="Helvetica Neue" w:cs="Baghdad"/>
          <w:b/>
          <w:bCs/>
          <w:sz w:val="20"/>
          <w:szCs w:val="20"/>
        </w:rPr>
        <w:t>–</w:t>
      </w:r>
      <w:r w:rsidR="00E735C6" w:rsidRPr="00C15175">
        <w:rPr>
          <w:rFonts w:ascii="Helvetica Neue" w:hAnsi="Helvetica Neue" w:cs="Baghdad"/>
          <w:bCs/>
          <w:sz w:val="20"/>
          <w:szCs w:val="20"/>
        </w:rPr>
        <w:t xml:space="preserve"> </w:t>
      </w:r>
      <w:proofErr w:type="spellStart"/>
      <w:r w:rsidR="007B735E" w:rsidRPr="00C15175">
        <w:rPr>
          <w:rFonts w:ascii="Helvetica Neue" w:hAnsi="Helvetica Neue" w:cs="Baghdad"/>
          <w:bCs/>
          <w:sz w:val="20"/>
          <w:szCs w:val="20"/>
        </w:rPr>
        <w:t>Gesvalt</w:t>
      </w:r>
      <w:proofErr w:type="spellEnd"/>
      <w:r w:rsidR="007B735E" w:rsidRPr="00C15175">
        <w:rPr>
          <w:rFonts w:ascii="Helvetica Neue" w:hAnsi="Helvetica Neue" w:cs="Baghdad"/>
          <w:bCs/>
          <w:sz w:val="20"/>
          <w:szCs w:val="20"/>
        </w:rPr>
        <w:t xml:space="preserve">, la compañía de referencia en el sector de la consultoría, valoración y actuaciones </w:t>
      </w:r>
      <w:r w:rsidR="00645637" w:rsidRPr="00C15175">
        <w:rPr>
          <w:rFonts w:ascii="Helvetica Neue" w:hAnsi="Helvetica Neue" w:cs="Baghdad"/>
          <w:bCs/>
          <w:sz w:val="20"/>
          <w:szCs w:val="20"/>
        </w:rPr>
        <w:t>técnicas</w:t>
      </w:r>
      <w:r w:rsidR="007B735E" w:rsidRPr="00C15175">
        <w:rPr>
          <w:rFonts w:ascii="Helvetica Neue" w:hAnsi="Helvetica Neue" w:cs="Baghdad"/>
          <w:bCs/>
          <w:sz w:val="20"/>
          <w:szCs w:val="20"/>
        </w:rPr>
        <w:t xml:space="preserve"> ha publicado su Informe de Vivienda correspondiente </w:t>
      </w:r>
      <w:r w:rsidR="00F00728" w:rsidRPr="00C15175">
        <w:rPr>
          <w:rFonts w:ascii="Helvetica Neue" w:hAnsi="Helvetica Neue" w:cs="Baghdad"/>
          <w:bCs/>
          <w:sz w:val="20"/>
          <w:szCs w:val="20"/>
        </w:rPr>
        <w:t xml:space="preserve">al </w:t>
      </w:r>
      <w:r w:rsidR="000E770F" w:rsidRPr="00C15175">
        <w:rPr>
          <w:rFonts w:ascii="Helvetica Neue" w:hAnsi="Helvetica Neue" w:cs="Baghdad"/>
          <w:bCs/>
          <w:sz w:val="20"/>
          <w:szCs w:val="20"/>
        </w:rPr>
        <w:t>primer trimestre del año 2022</w:t>
      </w:r>
      <w:r w:rsidR="007B735E" w:rsidRPr="00C15175">
        <w:rPr>
          <w:rFonts w:ascii="Helvetica Neue" w:hAnsi="Helvetica Neue" w:cs="Baghdad"/>
          <w:bCs/>
          <w:sz w:val="20"/>
          <w:szCs w:val="20"/>
        </w:rPr>
        <w:t xml:space="preserve">. El estudio, realizado </w:t>
      </w:r>
      <w:r w:rsidR="0082419E" w:rsidRPr="00C15175">
        <w:rPr>
          <w:rFonts w:ascii="Helvetica Neue" w:hAnsi="Helvetica Neue" w:cs="Baghdad"/>
          <w:bCs/>
          <w:sz w:val="20"/>
          <w:szCs w:val="20"/>
        </w:rPr>
        <w:t xml:space="preserve">con datos propios </w:t>
      </w:r>
      <w:r w:rsidR="007B735E" w:rsidRPr="00C15175">
        <w:rPr>
          <w:rFonts w:ascii="Helvetica Neue" w:hAnsi="Helvetica Neue" w:cs="Baghdad"/>
          <w:bCs/>
          <w:sz w:val="20"/>
          <w:szCs w:val="20"/>
        </w:rPr>
        <w:t xml:space="preserve">por el departamento de </w:t>
      </w:r>
      <w:proofErr w:type="spellStart"/>
      <w:r w:rsidR="007B735E" w:rsidRPr="00C15175">
        <w:rPr>
          <w:rFonts w:ascii="Helvetica Neue" w:hAnsi="Helvetica Neue" w:cs="Baghdad"/>
          <w:bCs/>
          <w:sz w:val="20"/>
          <w:szCs w:val="20"/>
        </w:rPr>
        <w:t>Research</w:t>
      </w:r>
      <w:proofErr w:type="spellEnd"/>
      <w:r w:rsidR="007B735E" w:rsidRPr="00C15175">
        <w:rPr>
          <w:rFonts w:ascii="Helvetica Neue" w:hAnsi="Helvetica Neue" w:cs="Baghdad"/>
          <w:bCs/>
          <w:sz w:val="20"/>
          <w:szCs w:val="20"/>
        </w:rPr>
        <w:t xml:space="preserve"> de la compañía,</w:t>
      </w:r>
      <w:r w:rsidR="00A56B4A" w:rsidRPr="00C15175">
        <w:rPr>
          <w:rFonts w:ascii="Helvetica Neue" w:hAnsi="Helvetica Neue" w:cs="Baghdad"/>
          <w:bCs/>
          <w:sz w:val="20"/>
          <w:szCs w:val="20"/>
        </w:rPr>
        <w:t xml:space="preserve"> </w:t>
      </w:r>
      <w:r w:rsidR="000E770F" w:rsidRPr="00C15175">
        <w:rPr>
          <w:rFonts w:ascii="Helvetica Neue" w:hAnsi="Helvetica Neue" w:cs="Baghdad"/>
          <w:bCs/>
          <w:sz w:val="20"/>
          <w:szCs w:val="20"/>
        </w:rPr>
        <w:t xml:space="preserve">refleja un </w:t>
      </w:r>
      <w:r w:rsidR="00440D44" w:rsidRPr="00C15175">
        <w:rPr>
          <w:rFonts w:ascii="Helvetica Neue" w:hAnsi="Helvetica Neue" w:cs="Baghdad"/>
          <w:bCs/>
          <w:sz w:val="20"/>
          <w:szCs w:val="20"/>
        </w:rPr>
        <w:t xml:space="preserve">incremento del precio de la vivienda del 3,7% con respecto al mismo periodo </w:t>
      </w:r>
      <w:r w:rsidR="00783528" w:rsidRPr="00C15175">
        <w:rPr>
          <w:rFonts w:ascii="Helvetica Neue" w:hAnsi="Helvetica Neue" w:cs="Baghdad"/>
          <w:bCs/>
          <w:sz w:val="20"/>
          <w:szCs w:val="20"/>
        </w:rPr>
        <w:t>del año 202</w:t>
      </w:r>
      <w:r w:rsidR="00E74B72">
        <w:rPr>
          <w:rFonts w:ascii="Helvetica Neue" w:hAnsi="Helvetica Neue" w:cs="Baghdad"/>
          <w:bCs/>
          <w:sz w:val="20"/>
          <w:szCs w:val="20"/>
        </w:rPr>
        <w:t>1</w:t>
      </w:r>
      <w:r w:rsidR="00783528" w:rsidRPr="00C15175">
        <w:rPr>
          <w:rFonts w:ascii="Helvetica Neue" w:hAnsi="Helvetica Neue" w:cs="Baghdad"/>
          <w:bCs/>
          <w:sz w:val="20"/>
          <w:szCs w:val="20"/>
        </w:rPr>
        <w:t xml:space="preserve">. Este nuevo </w:t>
      </w:r>
      <w:r w:rsidR="000252D8" w:rsidRPr="00C15175">
        <w:rPr>
          <w:rFonts w:ascii="Helvetica Neue" w:hAnsi="Helvetica Neue" w:cs="Baghdad"/>
          <w:bCs/>
          <w:sz w:val="20"/>
          <w:szCs w:val="20"/>
        </w:rPr>
        <w:t>aumento</w:t>
      </w:r>
      <w:r w:rsidR="00783528" w:rsidRPr="00C15175">
        <w:rPr>
          <w:rFonts w:ascii="Helvetica Neue" w:hAnsi="Helvetica Neue" w:cs="Baghdad"/>
          <w:bCs/>
          <w:sz w:val="20"/>
          <w:szCs w:val="20"/>
        </w:rPr>
        <w:t xml:space="preserve"> </w:t>
      </w:r>
      <w:r w:rsidR="000252D8" w:rsidRPr="00C15175">
        <w:rPr>
          <w:rFonts w:ascii="Helvetica Neue" w:hAnsi="Helvetica Neue" w:cs="Baghdad"/>
          <w:bCs/>
          <w:sz w:val="20"/>
          <w:szCs w:val="20"/>
        </w:rPr>
        <w:t xml:space="preserve">supone </w:t>
      </w:r>
      <w:r w:rsidR="00A93691" w:rsidRPr="00C15175">
        <w:rPr>
          <w:rFonts w:ascii="Helvetica Neue" w:hAnsi="Helvetica Neue" w:cs="Baghdad"/>
          <w:bCs/>
          <w:sz w:val="20"/>
          <w:szCs w:val="20"/>
        </w:rPr>
        <w:t>encadenar cuatro periodos</w:t>
      </w:r>
      <w:r w:rsidR="001C1878" w:rsidRPr="00C15175">
        <w:rPr>
          <w:rFonts w:ascii="Helvetica Neue" w:hAnsi="Helvetica Neue" w:cs="Baghdad"/>
          <w:bCs/>
          <w:sz w:val="20"/>
          <w:szCs w:val="20"/>
        </w:rPr>
        <w:t xml:space="preserve"> con subidas superiores al</w:t>
      </w:r>
      <w:r w:rsidR="00A93691" w:rsidRPr="00C15175">
        <w:rPr>
          <w:rFonts w:ascii="Helvetica Neue" w:hAnsi="Helvetica Neue" w:cs="Baghdad"/>
          <w:bCs/>
          <w:sz w:val="20"/>
          <w:szCs w:val="20"/>
        </w:rPr>
        <w:t xml:space="preserve"> 3%</w:t>
      </w:r>
      <w:r w:rsidR="000252D8" w:rsidRPr="00C15175">
        <w:rPr>
          <w:rFonts w:ascii="Helvetica Neue" w:hAnsi="Helvetica Neue" w:cs="Baghdad"/>
          <w:bCs/>
          <w:sz w:val="20"/>
          <w:szCs w:val="20"/>
        </w:rPr>
        <w:t xml:space="preserve">, </w:t>
      </w:r>
      <w:r w:rsidR="00A93691" w:rsidRPr="00C15175">
        <w:rPr>
          <w:rFonts w:ascii="Helvetica Neue" w:hAnsi="Helvetica Neue" w:cs="Baghdad"/>
          <w:bCs/>
          <w:sz w:val="20"/>
          <w:szCs w:val="20"/>
        </w:rPr>
        <w:t>o lo que es lo mismo, un año completo</w:t>
      </w:r>
      <w:r w:rsidR="001C1878" w:rsidRPr="00C15175">
        <w:rPr>
          <w:rFonts w:ascii="Helvetica Neue" w:hAnsi="Helvetica Neue" w:cs="Baghdad"/>
          <w:bCs/>
          <w:sz w:val="20"/>
          <w:szCs w:val="20"/>
        </w:rPr>
        <w:t xml:space="preserve"> al alza.</w:t>
      </w:r>
      <w:r w:rsidR="00A97199" w:rsidRPr="00C15175">
        <w:rPr>
          <w:rFonts w:ascii="Helvetica Neue" w:hAnsi="Helvetica Neue" w:cs="Baghdad"/>
          <w:bCs/>
          <w:sz w:val="20"/>
          <w:szCs w:val="20"/>
        </w:rPr>
        <w:t xml:space="preserve"> En este sentido, esta tendencia se explica como una respuesta al descenso de la incertidumbre </w:t>
      </w:r>
      <w:r w:rsidR="00D604E4" w:rsidRPr="00C15175">
        <w:rPr>
          <w:rFonts w:ascii="Helvetica Neue" w:hAnsi="Helvetica Neue" w:cs="Baghdad"/>
          <w:bCs/>
          <w:sz w:val="20"/>
          <w:szCs w:val="20"/>
        </w:rPr>
        <w:t>y a las contracciones en los precios observadas durante el ejercicio de 2020. Asimismo, a pesar de</w:t>
      </w:r>
      <w:r w:rsidR="000C50D5" w:rsidRPr="00C15175">
        <w:rPr>
          <w:rFonts w:ascii="Helvetica Neue" w:hAnsi="Helvetica Neue" w:cs="Baghdad"/>
          <w:bCs/>
          <w:sz w:val="20"/>
          <w:szCs w:val="20"/>
        </w:rPr>
        <w:t xml:space="preserve"> la incertidumbre existente actualmente, los expertos de </w:t>
      </w:r>
      <w:proofErr w:type="spellStart"/>
      <w:r w:rsidR="000C50D5" w:rsidRPr="00C15175">
        <w:rPr>
          <w:rFonts w:ascii="Helvetica Neue" w:hAnsi="Helvetica Neue" w:cs="Baghdad"/>
          <w:bCs/>
          <w:sz w:val="20"/>
          <w:szCs w:val="20"/>
        </w:rPr>
        <w:t>Gesvalt</w:t>
      </w:r>
      <w:proofErr w:type="spellEnd"/>
      <w:r w:rsidR="000C50D5" w:rsidRPr="00C15175">
        <w:rPr>
          <w:rFonts w:ascii="Helvetica Neue" w:hAnsi="Helvetica Neue" w:cs="Baghdad"/>
          <w:bCs/>
          <w:sz w:val="20"/>
          <w:szCs w:val="20"/>
        </w:rPr>
        <w:t xml:space="preserve"> anticipan un escenario de estabilización de precios en 2022. </w:t>
      </w:r>
    </w:p>
    <w:p w14:paraId="3C794DFC" w14:textId="77777777" w:rsidR="00A97199" w:rsidRPr="00C15175" w:rsidRDefault="00A97199" w:rsidP="009E57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688F6C16" w14:textId="56883BD9" w:rsidR="009B3945" w:rsidRPr="00686A00" w:rsidRDefault="009B3945" w:rsidP="009E5762">
      <w:pPr>
        <w:spacing w:line="276" w:lineRule="auto"/>
        <w:jc w:val="both"/>
        <w:rPr>
          <w:rFonts w:ascii="Helvetica Neue" w:hAnsi="Helvetica Neue" w:cs="Baghdad"/>
          <w:b/>
          <w:color w:val="0070C0"/>
          <w:sz w:val="20"/>
          <w:szCs w:val="20"/>
        </w:rPr>
      </w:pPr>
      <w:r w:rsidRPr="00C15175">
        <w:rPr>
          <w:rFonts w:ascii="Helvetica Neue" w:hAnsi="Helvetica Neue" w:cs="Baghdad"/>
          <w:bCs/>
          <w:sz w:val="20"/>
          <w:szCs w:val="20"/>
        </w:rPr>
        <w:t>Tras este nuevo incremento, el precio de la vivienda se ha situado en 1.4</w:t>
      </w:r>
      <w:r w:rsidR="00DA1F07" w:rsidRPr="00C15175">
        <w:rPr>
          <w:rFonts w:ascii="Helvetica Neue" w:hAnsi="Helvetica Neue" w:cs="Baghdad"/>
          <w:bCs/>
          <w:sz w:val="20"/>
          <w:szCs w:val="20"/>
        </w:rPr>
        <w:t>3</w:t>
      </w:r>
      <w:r w:rsidRPr="00C15175">
        <w:rPr>
          <w:rFonts w:ascii="Helvetica Neue" w:hAnsi="Helvetica Neue" w:cs="Baghdad"/>
          <w:bCs/>
          <w:sz w:val="20"/>
          <w:szCs w:val="20"/>
        </w:rPr>
        <w:t xml:space="preserve">9 </w:t>
      </w:r>
      <w:r w:rsidRPr="00C15175">
        <w:rPr>
          <w:rFonts w:ascii="Times New Roman" w:hAnsi="Times New Roman" w:cs="Times New Roman"/>
          <w:bCs/>
          <w:sz w:val="20"/>
          <w:szCs w:val="20"/>
        </w:rPr>
        <w:t>€</w:t>
      </w:r>
      <w:r w:rsidRPr="00C15175">
        <w:rPr>
          <w:rFonts w:ascii="Helvetica Neue" w:hAnsi="Helvetica Neue" w:cs="Baghdad"/>
          <w:bCs/>
          <w:sz w:val="20"/>
          <w:szCs w:val="20"/>
        </w:rPr>
        <w:t>/m</w:t>
      </w:r>
      <w:r w:rsidRPr="00C15175">
        <w:rPr>
          <w:rFonts w:ascii="Helvetica Neue" w:hAnsi="Helvetica Neue" w:cs="Baghdad"/>
          <w:bCs/>
          <w:sz w:val="20"/>
          <w:szCs w:val="20"/>
          <w:vertAlign w:val="superscript"/>
        </w:rPr>
        <w:t>2</w:t>
      </w:r>
      <w:r w:rsidRPr="00C15175">
        <w:rPr>
          <w:rFonts w:ascii="Helvetica Neue" w:hAnsi="Helvetica Neue" w:cs="Baghdad"/>
          <w:bCs/>
          <w:sz w:val="20"/>
          <w:szCs w:val="20"/>
        </w:rPr>
        <w:t>, lo que implica que una vivienda con un valor promedio y una superficie de 90 m² tendría un precio que ascendería hasta los 1</w:t>
      </w:r>
      <w:r w:rsidR="00956F60" w:rsidRPr="00C15175">
        <w:rPr>
          <w:rFonts w:ascii="Helvetica Neue" w:hAnsi="Helvetica Neue" w:cs="Baghdad"/>
          <w:bCs/>
          <w:sz w:val="20"/>
          <w:szCs w:val="20"/>
        </w:rPr>
        <w:t>29</w:t>
      </w:r>
      <w:r w:rsidRPr="00C15175">
        <w:rPr>
          <w:rFonts w:ascii="Helvetica Neue" w:hAnsi="Helvetica Neue" w:cs="Baghdad"/>
          <w:bCs/>
          <w:sz w:val="20"/>
          <w:szCs w:val="20"/>
        </w:rPr>
        <w:t>.</w:t>
      </w:r>
      <w:r w:rsidR="00956F60" w:rsidRPr="00C15175">
        <w:rPr>
          <w:rFonts w:ascii="Helvetica Neue" w:hAnsi="Helvetica Neue" w:cs="Baghdad"/>
          <w:bCs/>
          <w:sz w:val="20"/>
          <w:szCs w:val="20"/>
        </w:rPr>
        <w:t>5</w:t>
      </w:r>
      <w:r w:rsidRPr="00C15175">
        <w:rPr>
          <w:rFonts w:ascii="Helvetica Neue" w:hAnsi="Helvetica Neue" w:cs="Baghdad"/>
          <w:bCs/>
          <w:sz w:val="20"/>
          <w:szCs w:val="20"/>
        </w:rPr>
        <w:t>10</w:t>
      </w:r>
      <w:r w:rsidRPr="00C15175">
        <w:rPr>
          <w:rFonts w:ascii="Times New Roman" w:hAnsi="Times New Roman" w:cs="Times New Roman"/>
          <w:bCs/>
          <w:sz w:val="20"/>
          <w:szCs w:val="20"/>
        </w:rPr>
        <w:t>€</w:t>
      </w:r>
      <w:r w:rsidRPr="00C15175">
        <w:rPr>
          <w:rFonts w:ascii="Helvetica Neue" w:hAnsi="Helvetica Neue" w:cs="Baghdad"/>
          <w:bCs/>
          <w:sz w:val="20"/>
          <w:szCs w:val="20"/>
        </w:rPr>
        <w:t xml:space="preserve">, frente a los </w:t>
      </w:r>
      <w:r w:rsidR="00912704" w:rsidRPr="00C15175">
        <w:rPr>
          <w:rFonts w:ascii="Helvetica Neue" w:hAnsi="Helvetica Neue" w:cs="Baghdad"/>
          <w:bCs/>
          <w:sz w:val="20"/>
          <w:szCs w:val="20"/>
        </w:rPr>
        <w:t>124.920</w:t>
      </w:r>
      <w:r w:rsidRPr="00C15175">
        <w:rPr>
          <w:rFonts w:ascii="Times New Roman" w:hAnsi="Times New Roman" w:cs="Times New Roman"/>
          <w:bCs/>
          <w:sz w:val="20"/>
          <w:szCs w:val="20"/>
        </w:rPr>
        <w:t>€</w:t>
      </w:r>
      <w:r w:rsidRPr="00C15175">
        <w:rPr>
          <w:rFonts w:ascii="Helvetica Neue" w:hAnsi="Helvetica Neue" w:cs="Baghdad"/>
          <w:bCs/>
          <w:sz w:val="20"/>
          <w:szCs w:val="20"/>
        </w:rPr>
        <w:t xml:space="preserve"> del año pasado.</w:t>
      </w:r>
      <w:r w:rsidR="00912704" w:rsidRPr="00C15175">
        <w:rPr>
          <w:rFonts w:ascii="Helvetica Neue" w:hAnsi="Helvetica Neue" w:cs="Baghdad"/>
          <w:bCs/>
          <w:sz w:val="20"/>
          <w:szCs w:val="20"/>
        </w:rPr>
        <w:t xml:space="preserve"> </w:t>
      </w:r>
    </w:p>
    <w:p w14:paraId="4BE7A0B7" w14:textId="100D601B" w:rsidR="009B3945" w:rsidRPr="00C15175" w:rsidRDefault="009B3945" w:rsidP="009E57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  <w:highlight w:val="yellow"/>
        </w:rPr>
      </w:pPr>
    </w:p>
    <w:p w14:paraId="19A3319B" w14:textId="7B33D279" w:rsidR="00262ACE" w:rsidRPr="00C15175" w:rsidRDefault="00262ACE" w:rsidP="009E57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 w:rsidRPr="00C15175">
        <w:rPr>
          <w:rFonts w:ascii="Helvetica Neue" w:hAnsi="Helvetica Neue" w:cs="Baghdad"/>
          <w:bCs/>
          <w:sz w:val="20"/>
          <w:szCs w:val="20"/>
        </w:rPr>
        <w:t xml:space="preserve">Por otra parte, el Informe de vivienda de </w:t>
      </w:r>
      <w:proofErr w:type="spellStart"/>
      <w:r w:rsidRPr="00C15175">
        <w:rPr>
          <w:rFonts w:ascii="Helvetica Neue" w:hAnsi="Helvetica Neue" w:cs="Baghdad"/>
          <w:bCs/>
          <w:sz w:val="20"/>
          <w:szCs w:val="20"/>
        </w:rPr>
        <w:t>Gesvalt</w:t>
      </w:r>
      <w:proofErr w:type="spellEnd"/>
      <w:r w:rsidRPr="00C15175">
        <w:rPr>
          <w:rFonts w:ascii="Helvetica Neue" w:hAnsi="Helvetica Neue" w:cs="Baghdad"/>
          <w:bCs/>
          <w:sz w:val="20"/>
          <w:szCs w:val="20"/>
        </w:rPr>
        <w:t xml:space="preserve"> también señala que </w:t>
      </w:r>
      <w:r w:rsidR="00422FE9" w:rsidRPr="00C15175">
        <w:rPr>
          <w:rFonts w:ascii="Helvetica Neue" w:hAnsi="Helvetica Neue" w:cs="Baghdad"/>
          <w:bCs/>
          <w:sz w:val="20"/>
          <w:szCs w:val="20"/>
        </w:rPr>
        <w:t xml:space="preserve">la tendencia al alza de los precios ha sido generalizada, ya que se ha producido en todas las comunidades autónomas con la excepción de Galicia y Asturias, que han experimentado leves descensos. En este sentido, </w:t>
      </w:r>
      <w:r w:rsidR="003C4C50" w:rsidRPr="00C15175">
        <w:rPr>
          <w:rFonts w:ascii="Helvetica Neue" w:hAnsi="Helvetica Neue" w:cs="Baghdad"/>
          <w:bCs/>
          <w:sz w:val="20"/>
          <w:szCs w:val="20"/>
        </w:rPr>
        <w:t xml:space="preserve">las regiones </w:t>
      </w:r>
      <w:r w:rsidR="00B770A7" w:rsidRPr="00C15175">
        <w:rPr>
          <w:rFonts w:ascii="Helvetica Neue" w:hAnsi="Helvetica Neue" w:cs="Baghdad"/>
          <w:bCs/>
          <w:sz w:val="20"/>
          <w:szCs w:val="20"/>
        </w:rPr>
        <w:t xml:space="preserve">en las que </w:t>
      </w:r>
      <w:proofErr w:type="spellStart"/>
      <w:r w:rsidR="00B770A7" w:rsidRPr="00C15175">
        <w:rPr>
          <w:rFonts w:ascii="Helvetica Neue" w:hAnsi="Helvetica Neue" w:cs="Baghdad"/>
          <w:bCs/>
          <w:sz w:val="20"/>
          <w:szCs w:val="20"/>
        </w:rPr>
        <w:t>mas</w:t>
      </w:r>
      <w:proofErr w:type="spellEnd"/>
      <w:r w:rsidR="00B770A7" w:rsidRPr="00C15175">
        <w:rPr>
          <w:rFonts w:ascii="Helvetica Neue" w:hAnsi="Helvetica Neue" w:cs="Baghdad"/>
          <w:bCs/>
          <w:sz w:val="20"/>
          <w:szCs w:val="20"/>
        </w:rPr>
        <w:t xml:space="preserve"> se ha </w:t>
      </w:r>
      <w:r w:rsidR="00B770A7" w:rsidRPr="00C15175">
        <w:rPr>
          <w:rFonts w:ascii="Helvetica Neue" w:hAnsi="Helvetica Neue" w:cs="Baghdad"/>
          <w:bCs/>
          <w:sz w:val="20"/>
          <w:szCs w:val="20"/>
        </w:rPr>
        <w:lastRenderedPageBreak/>
        <w:t xml:space="preserve">incrementado </w:t>
      </w:r>
      <w:r w:rsidR="001C0B5C" w:rsidRPr="00C15175">
        <w:rPr>
          <w:rFonts w:ascii="Helvetica Neue" w:hAnsi="Helvetica Neue" w:cs="Baghdad"/>
          <w:bCs/>
          <w:sz w:val="20"/>
          <w:szCs w:val="20"/>
        </w:rPr>
        <w:t>este valor han sido Canarias, con un 5,4%, Baleares, con un 5</w:t>
      </w:r>
      <w:r w:rsidR="00A41A1D">
        <w:rPr>
          <w:rFonts w:ascii="Helvetica Neue" w:hAnsi="Helvetica Neue" w:cs="Baghdad"/>
          <w:bCs/>
          <w:sz w:val="20"/>
          <w:szCs w:val="20"/>
        </w:rPr>
        <w:t>,0</w:t>
      </w:r>
      <w:r w:rsidR="001C0B5C" w:rsidRPr="00C15175">
        <w:rPr>
          <w:rFonts w:ascii="Helvetica Neue" w:hAnsi="Helvetica Neue" w:cs="Baghdad"/>
          <w:bCs/>
          <w:sz w:val="20"/>
          <w:szCs w:val="20"/>
        </w:rPr>
        <w:t>%</w:t>
      </w:r>
      <w:r w:rsidR="00ED763E" w:rsidRPr="00C15175">
        <w:rPr>
          <w:rFonts w:ascii="Helvetica Neue" w:hAnsi="Helvetica Neue" w:cs="Baghdad"/>
          <w:bCs/>
          <w:sz w:val="20"/>
          <w:szCs w:val="20"/>
        </w:rPr>
        <w:t>,</w:t>
      </w:r>
      <w:r w:rsidR="001C0B5C" w:rsidRPr="00C15175">
        <w:rPr>
          <w:rFonts w:ascii="Helvetica Neue" w:hAnsi="Helvetica Neue" w:cs="Baghdad"/>
          <w:bCs/>
          <w:sz w:val="20"/>
          <w:szCs w:val="20"/>
        </w:rPr>
        <w:t xml:space="preserve"> </w:t>
      </w:r>
      <w:r w:rsidR="009360AB" w:rsidRPr="00C15175">
        <w:rPr>
          <w:rFonts w:ascii="Helvetica Neue" w:hAnsi="Helvetica Neue" w:cs="Baghdad"/>
          <w:bCs/>
          <w:sz w:val="20"/>
          <w:szCs w:val="20"/>
        </w:rPr>
        <w:t>La Rioja, con un 4,6%</w:t>
      </w:r>
      <w:r w:rsidR="00ED763E" w:rsidRPr="00C15175">
        <w:rPr>
          <w:rFonts w:ascii="Helvetica Neue" w:hAnsi="Helvetica Neue" w:cs="Baghdad"/>
          <w:bCs/>
          <w:sz w:val="20"/>
          <w:szCs w:val="20"/>
        </w:rPr>
        <w:t xml:space="preserve"> y Comunidad Valenciana, con un 3,</w:t>
      </w:r>
      <w:r w:rsidR="00D931D3" w:rsidRPr="00C15175">
        <w:rPr>
          <w:rFonts w:ascii="Helvetica Neue" w:hAnsi="Helvetica Neue" w:cs="Baghdad"/>
          <w:bCs/>
          <w:sz w:val="20"/>
          <w:szCs w:val="20"/>
        </w:rPr>
        <w:t>2</w:t>
      </w:r>
      <w:r w:rsidR="00ED763E" w:rsidRPr="00C15175">
        <w:rPr>
          <w:rFonts w:ascii="Helvetica Neue" w:hAnsi="Helvetica Neue" w:cs="Baghdad"/>
          <w:bCs/>
          <w:sz w:val="20"/>
          <w:szCs w:val="20"/>
        </w:rPr>
        <w:t>%</w:t>
      </w:r>
      <w:r w:rsidR="009360AB" w:rsidRPr="00C15175">
        <w:rPr>
          <w:rFonts w:ascii="Helvetica Neue" w:hAnsi="Helvetica Neue" w:cs="Baghdad"/>
          <w:bCs/>
          <w:sz w:val="20"/>
          <w:szCs w:val="20"/>
        </w:rPr>
        <w:t xml:space="preserve">. La Comunidad de Madrid y Cataluña, por su parte, han experimentado ascensos del </w:t>
      </w:r>
      <w:r w:rsidR="00ED763E" w:rsidRPr="00C15175">
        <w:rPr>
          <w:rFonts w:ascii="Helvetica Neue" w:hAnsi="Helvetica Neue" w:cs="Baghdad"/>
          <w:bCs/>
          <w:sz w:val="20"/>
          <w:szCs w:val="20"/>
        </w:rPr>
        <w:t>2,7% y el 1,2%</w:t>
      </w:r>
      <w:r w:rsidR="00D931D3" w:rsidRPr="00C15175">
        <w:rPr>
          <w:rFonts w:ascii="Helvetica Neue" w:hAnsi="Helvetica Neue" w:cs="Baghdad"/>
          <w:bCs/>
          <w:sz w:val="20"/>
          <w:szCs w:val="20"/>
        </w:rPr>
        <w:t xml:space="preserve"> respectivamente</w:t>
      </w:r>
      <w:r w:rsidR="00ED763E" w:rsidRPr="00C15175">
        <w:rPr>
          <w:rFonts w:ascii="Helvetica Neue" w:hAnsi="Helvetica Neue" w:cs="Baghdad"/>
          <w:bCs/>
          <w:sz w:val="20"/>
          <w:szCs w:val="20"/>
        </w:rPr>
        <w:t xml:space="preserve">. </w:t>
      </w:r>
    </w:p>
    <w:p w14:paraId="7C6C6EFC" w14:textId="77777777" w:rsidR="00BA12B0" w:rsidRPr="00C15175" w:rsidRDefault="00BA12B0" w:rsidP="009E57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  <w:highlight w:val="yellow"/>
        </w:rPr>
      </w:pPr>
      <w:bookmarkStart w:id="1" w:name="_Hlk75949604"/>
    </w:p>
    <w:p w14:paraId="5524B151" w14:textId="77777777" w:rsidR="009E5762" w:rsidRPr="00C15175" w:rsidRDefault="009E5762" w:rsidP="009E57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  <w:highlight w:val="yellow"/>
        </w:rPr>
      </w:pPr>
    </w:p>
    <w:p w14:paraId="05DFA270" w14:textId="20B8D6FB" w:rsidR="007A0C6D" w:rsidRPr="00C15175" w:rsidRDefault="00F10C25" w:rsidP="009E5762">
      <w:pPr>
        <w:spacing w:line="276" w:lineRule="auto"/>
        <w:jc w:val="both"/>
        <w:rPr>
          <w:rFonts w:ascii="Helvetica Neue" w:hAnsi="Helvetica Neue" w:cs="Baghdad"/>
          <w:b/>
          <w:bCs/>
          <w:sz w:val="20"/>
          <w:szCs w:val="20"/>
        </w:rPr>
      </w:pPr>
      <w:r w:rsidRPr="00C15175">
        <w:rPr>
          <w:rFonts w:ascii="Helvetica Neue" w:hAnsi="Helvetica Neue" w:cs="Baghdad"/>
          <w:b/>
          <w:bCs/>
          <w:sz w:val="20"/>
          <w:szCs w:val="20"/>
        </w:rPr>
        <w:t>Galicia</w:t>
      </w:r>
      <w:r w:rsidR="00D931D3" w:rsidRPr="00C15175">
        <w:rPr>
          <w:rFonts w:ascii="Helvetica Neue" w:hAnsi="Helvetica Neue" w:cs="Baghdad"/>
          <w:b/>
          <w:bCs/>
          <w:sz w:val="20"/>
          <w:szCs w:val="20"/>
        </w:rPr>
        <w:t>, la tendencia inversa a la nacional</w:t>
      </w:r>
      <w:r w:rsidRPr="00C15175">
        <w:rPr>
          <w:rFonts w:ascii="Helvetica Neue" w:hAnsi="Helvetica Neue" w:cs="Baghdad"/>
          <w:b/>
          <w:bCs/>
          <w:sz w:val="20"/>
          <w:szCs w:val="20"/>
        </w:rPr>
        <w:t xml:space="preserve"> </w:t>
      </w:r>
    </w:p>
    <w:p w14:paraId="4FA44532" w14:textId="42281A8A" w:rsidR="00E44A42" w:rsidRPr="00C15175" w:rsidRDefault="00E44A42" w:rsidP="009E57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4503BFB9" w14:textId="0E54D269" w:rsidR="00D931D3" w:rsidRPr="00C15175" w:rsidRDefault="00966ACB" w:rsidP="009E57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 w:rsidRPr="00C15175">
        <w:rPr>
          <w:rFonts w:ascii="Helvetica Neue" w:hAnsi="Helvetica Neue" w:cs="Baghdad"/>
          <w:bCs/>
          <w:sz w:val="20"/>
          <w:szCs w:val="20"/>
        </w:rPr>
        <w:t xml:space="preserve">Galicia, por el contrario que la tendencia nacional, ha encadenado su cuarto trimestre consecutivo de ligeros descensos en el precio de la vivienda. </w:t>
      </w:r>
      <w:r w:rsidR="005F39A0" w:rsidRPr="00C15175">
        <w:rPr>
          <w:rFonts w:ascii="Helvetica Neue" w:hAnsi="Helvetica Neue" w:cs="Baghdad"/>
          <w:bCs/>
          <w:sz w:val="20"/>
          <w:szCs w:val="20"/>
        </w:rPr>
        <w:t>En esta ocasión la bajada ha sido del 0,5%</w:t>
      </w:r>
      <w:r w:rsidR="001350F7" w:rsidRPr="00C15175">
        <w:rPr>
          <w:rFonts w:ascii="Helvetica Neue" w:hAnsi="Helvetica Neue" w:cs="Baghdad"/>
          <w:bCs/>
          <w:sz w:val="20"/>
          <w:szCs w:val="20"/>
        </w:rPr>
        <w:t xml:space="preserve">, </w:t>
      </w:r>
      <w:r w:rsidR="00B6095D" w:rsidRPr="00C15175">
        <w:rPr>
          <w:rFonts w:ascii="Helvetica Neue" w:hAnsi="Helvetica Neue" w:cs="Baghdad"/>
          <w:bCs/>
          <w:sz w:val="20"/>
          <w:szCs w:val="20"/>
        </w:rPr>
        <w:t xml:space="preserve">y ha sido acompañada por Asturias, donde también se ha reducido en un 0,3%. </w:t>
      </w:r>
    </w:p>
    <w:p w14:paraId="5258B77E" w14:textId="77777777" w:rsidR="00C11998" w:rsidRPr="00C15175" w:rsidRDefault="00C11998" w:rsidP="009E57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59E84573" w14:textId="04EDDCC6" w:rsidR="00C11998" w:rsidRPr="00C15175" w:rsidRDefault="00C11998" w:rsidP="009E57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 w:rsidRPr="00C15175">
        <w:rPr>
          <w:rFonts w:ascii="Helvetica Neue" w:hAnsi="Helvetica Neue" w:cs="Baghdad"/>
          <w:bCs/>
          <w:sz w:val="20"/>
          <w:szCs w:val="20"/>
        </w:rPr>
        <w:t xml:space="preserve">Por otra parte, Baleares ha repetido como </w:t>
      </w:r>
      <w:r w:rsidR="00BF702C" w:rsidRPr="00C15175">
        <w:rPr>
          <w:rFonts w:ascii="Helvetica Neue" w:hAnsi="Helvetica Neue" w:cs="Baghdad"/>
          <w:bCs/>
          <w:sz w:val="20"/>
          <w:szCs w:val="20"/>
        </w:rPr>
        <w:t xml:space="preserve">la región </w:t>
      </w:r>
      <w:r w:rsidR="00857B73" w:rsidRPr="00C15175">
        <w:rPr>
          <w:rFonts w:ascii="Helvetica Neue" w:hAnsi="Helvetica Neue" w:cs="Baghdad"/>
          <w:bCs/>
          <w:sz w:val="20"/>
          <w:szCs w:val="20"/>
        </w:rPr>
        <w:t>que ha liderado el ranking de precios residenciales más elevados, con un valor promedio de 2.4</w:t>
      </w:r>
      <w:r w:rsidR="00CC058D" w:rsidRPr="00C15175">
        <w:rPr>
          <w:rFonts w:ascii="Helvetica Neue" w:hAnsi="Helvetica Neue" w:cs="Baghdad"/>
          <w:bCs/>
          <w:sz w:val="20"/>
          <w:szCs w:val="20"/>
        </w:rPr>
        <w:t>40</w:t>
      </w:r>
      <w:r w:rsidR="00857B73" w:rsidRPr="00C15175">
        <w:rPr>
          <w:rFonts w:ascii="Helvetica Neue" w:hAnsi="Helvetica Neue" w:cs="Baghdad"/>
          <w:bCs/>
          <w:sz w:val="20"/>
          <w:szCs w:val="20"/>
        </w:rPr>
        <w:t xml:space="preserve"> </w:t>
      </w:r>
      <w:r w:rsidR="00857B73" w:rsidRPr="00C15175">
        <w:rPr>
          <w:rFonts w:ascii="Times New Roman" w:hAnsi="Times New Roman" w:cs="Times New Roman"/>
          <w:bCs/>
          <w:sz w:val="20"/>
          <w:szCs w:val="20"/>
        </w:rPr>
        <w:t>€</w:t>
      </w:r>
      <w:r w:rsidR="00857B73" w:rsidRPr="00C15175">
        <w:rPr>
          <w:rFonts w:ascii="Helvetica Neue" w:hAnsi="Helvetica Neue" w:cs="Baghdad"/>
          <w:bCs/>
          <w:sz w:val="20"/>
          <w:szCs w:val="20"/>
        </w:rPr>
        <w:t>/m</w:t>
      </w:r>
      <w:r w:rsidR="00857B73" w:rsidRPr="00C15175">
        <w:rPr>
          <w:rFonts w:ascii="Helvetica Neue" w:hAnsi="Helvetica Neue" w:cs="Helvetica Neue"/>
          <w:bCs/>
          <w:sz w:val="20"/>
          <w:szCs w:val="20"/>
        </w:rPr>
        <w:t>²</w:t>
      </w:r>
      <w:r w:rsidR="00857B73" w:rsidRPr="00C15175">
        <w:rPr>
          <w:rFonts w:ascii="Helvetica Neue" w:hAnsi="Helvetica Neue" w:cs="Baghdad"/>
          <w:bCs/>
          <w:sz w:val="20"/>
          <w:szCs w:val="20"/>
        </w:rPr>
        <w:t>, superando a Madrid, que se sitúa en un promedio de 2.</w:t>
      </w:r>
      <w:r w:rsidR="00CC058D" w:rsidRPr="00C15175">
        <w:rPr>
          <w:rFonts w:ascii="Helvetica Neue" w:hAnsi="Helvetica Neue" w:cs="Baghdad"/>
          <w:bCs/>
          <w:sz w:val="20"/>
          <w:szCs w:val="20"/>
        </w:rPr>
        <w:t>328</w:t>
      </w:r>
      <w:r w:rsidR="00857B73" w:rsidRPr="00C15175">
        <w:rPr>
          <w:rFonts w:ascii="Helvetica Neue" w:hAnsi="Helvetica Neue" w:cs="Baghdad"/>
          <w:bCs/>
          <w:sz w:val="20"/>
          <w:szCs w:val="20"/>
        </w:rPr>
        <w:t xml:space="preserve"> </w:t>
      </w:r>
      <w:r w:rsidR="00857B73" w:rsidRPr="00C15175">
        <w:rPr>
          <w:rFonts w:ascii="Times New Roman" w:hAnsi="Times New Roman" w:cs="Times New Roman"/>
          <w:bCs/>
          <w:sz w:val="20"/>
          <w:szCs w:val="20"/>
        </w:rPr>
        <w:t>€</w:t>
      </w:r>
      <w:r w:rsidR="00857B73" w:rsidRPr="00C15175">
        <w:rPr>
          <w:rFonts w:ascii="Helvetica Neue" w:hAnsi="Helvetica Neue" w:cs="Baghdad"/>
          <w:bCs/>
          <w:sz w:val="20"/>
          <w:szCs w:val="20"/>
        </w:rPr>
        <w:t>/m²</w:t>
      </w:r>
      <w:r w:rsidR="00BF04A2" w:rsidRPr="00C15175">
        <w:rPr>
          <w:rFonts w:ascii="Helvetica Neue" w:hAnsi="Helvetica Neue" w:cs="Baghdad"/>
          <w:bCs/>
          <w:sz w:val="20"/>
          <w:szCs w:val="20"/>
        </w:rPr>
        <w:t>. Por detrás, y como la última comunidad autónoma que supera los 2.000</w:t>
      </w:r>
      <w:r w:rsidR="00BF04A2" w:rsidRPr="00C15175">
        <w:rPr>
          <w:rFonts w:ascii="Times New Roman" w:hAnsi="Times New Roman" w:cs="Times New Roman"/>
          <w:bCs/>
          <w:sz w:val="20"/>
          <w:szCs w:val="20"/>
        </w:rPr>
        <w:t>€</w:t>
      </w:r>
      <w:r w:rsidR="007B1350" w:rsidRPr="00C15175">
        <w:rPr>
          <w:rFonts w:ascii="Helvetica Neue" w:hAnsi="Helvetica Neue" w:cs="Baghdad"/>
          <w:bCs/>
          <w:sz w:val="20"/>
          <w:szCs w:val="20"/>
        </w:rPr>
        <w:t>/ m</w:t>
      </w:r>
      <w:r w:rsidR="007B1350" w:rsidRPr="00C15175">
        <w:rPr>
          <w:rFonts w:ascii="Helvetica Neue" w:hAnsi="Helvetica Neue" w:cs="Baghdad"/>
          <w:bCs/>
          <w:sz w:val="20"/>
          <w:szCs w:val="20"/>
          <w:vertAlign w:val="superscript"/>
        </w:rPr>
        <w:t>2</w:t>
      </w:r>
      <w:r w:rsidR="007B1350" w:rsidRPr="00C15175">
        <w:rPr>
          <w:rFonts w:ascii="Helvetica Neue" w:hAnsi="Helvetica Neue" w:cs="Baghdad"/>
          <w:bCs/>
          <w:sz w:val="20"/>
          <w:szCs w:val="20"/>
        </w:rPr>
        <w:t xml:space="preserve">, se ha situado País Vasco, alcanzando un valor de 2.259 </w:t>
      </w:r>
      <w:r w:rsidR="007B1350" w:rsidRPr="00C15175">
        <w:rPr>
          <w:rFonts w:ascii="Times New Roman" w:hAnsi="Times New Roman" w:cs="Times New Roman"/>
          <w:bCs/>
          <w:sz w:val="20"/>
          <w:szCs w:val="20"/>
        </w:rPr>
        <w:t>€</w:t>
      </w:r>
      <w:r w:rsidR="007B1350" w:rsidRPr="00C15175">
        <w:rPr>
          <w:rFonts w:ascii="Helvetica Neue" w:hAnsi="Helvetica Neue" w:cs="Baghdad"/>
          <w:bCs/>
          <w:sz w:val="20"/>
          <w:szCs w:val="20"/>
        </w:rPr>
        <w:t>/m</w:t>
      </w:r>
      <w:r w:rsidR="007B1350" w:rsidRPr="00C15175">
        <w:rPr>
          <w:rFonts w:ascii="Helvetica Neue" w:hAnsi="Helvetica Neue" w:cs="Helvetica Neue"/>
          <w:bCs/>
          <w:sz w:val="20"/>
          <w:szCs w:val="20"/>
        </w:rPr>
        <w:t>²</w:t>
      </w:r>
      <w:r w:rsidR="007B1350" w:rsidRPr="00C15175">
        <w:rPr>
          <w:rFonts w:ascii="Helvetica Neue" w:hAnsi="Helvetica Neue" w:cs="Baghdad"/>
          <w:bCs/>
          <w:sz w:val="20"/>
          <w:szCs w:val="20"/>
        </w:rPr>
        <w:t>.</w:t>
      </w:r>
      <w:r w:rsidR="001F6269" w:rsidRPr="00C15175">
        <w:rPr>
          <w:rFonts w:ascii="Helvetica Neue" w:hAnsi="Helvetica Neue"/>
        </w:rPr>
        <w:t xml:space="preserve"> </w:t>
      </w:r>
      <w:r w:rsidR="001F6269" w:rsidRPr="00C15175">
        <w:rPr>
          <w:rFonts w:ascii="Helvetica Neue" w:hAnsi="Helvetica Neue" w:cs="Baghdad"/>
          <w:bCs/>
          <w:sz w:val="20"/>
          <w:szCs w:val="20"/>
        </w:rPr>
        <w:t>En la parte inferior del ranking se sitúa Extremadura, con un valor de 8</w:t>
      </w:r>
      <w:r w:rsidR="00D2340F" w:rsidRPr="00C15175">
        <w:rPr>
          <w:rFonts w:ascii="Helvetica Neue" w:hAnsi="Helvetica Neue" w:cs="Baghdad"/>
          <w:bCs/>
          <w:sz w:val="20"/>
          <w:szCs w:val="20"/>
        </w:rPr>
        <w:t>42</w:t>
      </w:r>
      <w:r w:rsidR="001F6269" w:rsidRPr="00C15175">
        <w:rPr>
          <w:rFonts w:ascii="Times New Roman" w:hAnsi="Times New Roman" w:cs="Times New Roman"/>
          <w:bCs/>
          <w:sz w:val="20"/>
          <w:szCs w:val="20"/>
        </w:rPr>
        <w:t>€</w:t>
      </w:r>
      <w:r w:rsidR="001F6269" w:rsidRPr="00C15175">
        <w:rPr>
          <w:rFonts w:ascii="Helvetica Neue" w:hAnsi="Helvetica Neue" w:cs="Baghdad"/>
          <w:bCs/>
          <w:sz w:val="20"/>
          <w:szCs w:val="20"/>
        </w:rPr>
        <w:t>/m², seguida por Castilla la Mancha con 8</w:t>
      </w:r>
      <w:r w:rsidR="00D2340F" w:rsidRPr="00C15175">
        <w:rPr>
          <w:rFonts w:ascii="Helvetica Neue" w:hAnsi="Helvetica Neue" w:cs="Baghdad"/>
          <w:bCs/>
          <w:sz w:val="20"/>
          <w:szCs w:val="20"/>
        </w:rPr>
        <w:t>63</w:t>
      </w:r>
      <w:r w:rsidR="001F6269" w:rsidRPr="00C15175">
        <w:rPr>
          <w:rFonts w:ascii="Times New Roman" w:hAnsi="Times New Roman" w:cs="Times New Roman"/>
          <w:bCs/>
          <w:sz w:val="20"/>
          <w:szCs w:val="20"/>
        </w:rPr>
        <w:t>€</w:t>
      </w:r>
      <w:r w:rsidR="001F6269" w:rsidRPr="00C15175">
        <w:rPr>
          <w:rFonts w:ascii="Helvetica Neue" w:hAnsi="Helvetica Neue" w:cs="Baghdad"/>
          <w:bCs/>
          <w:sz w:val="20"/>
          <w:szCs w:val="20"/>
        </w:rPr>
        <w:t>/m²</w:t>
      </w:r>
      <w:r w:rsidR="00486AE7" w:rsidRPr="00C15175">
        <w:rPr>
          <w:rFonts w:ascii="Helvetica Neue" w:hAnsi="Helvetica Neue" w:cs="Baghdad"/>
          <w:bCs/>
          <w:sz w:val="20"/>
          <w:szCs w:val="20"/>
        </w:rPr>
        <w:t xml:space="preserve"> y la Región de Murcia con 987 </w:t>
      </w:r>
      <w:r w:rsidR="00486AE7" w:rsidRPr="00C15175">
        <w:rPr>
          <w:rFonts w:ascii="Times New Roman" w:hAnsi="Times New Roman" w:cs="Times New Roman"/>
          <w:bCs/>
          <w:sz w:val="20"/>
          <w:szCs w:val="20"/>
        </w:rPr>
        <w:t>€</w:t>
      </w:r>
      <w:r w:rsidR="00486AE7" w:rsidRPr="00C15175">
        <w:rPr>
          <w:rFonts w:ascii="Helvetica Neue" w:hAnsi="Helvetica Neue" w:cs="Baghdad"/>
          <w:bCs/>
          <w:sz w:val="20"/>
          <w:szCs w:val="20"/>
        </w:rPr>
        <w:t>/m</w:t>
      </w:r>
      <w:r w:rsidR="00486AE7" w:rsidRPr="00C15175">
        <w:rPr>
          <w:rFonts w:ascii="Helvetica Neue" w:hAnsi="Helvetica Neue" w:cs="Helvetica Neue"/>
          <w:bCs/>
          <w:sz w:val="20"/>
          <w:szCs w:val="20"/>
        </w:rPr>
        <w:t>²</w:t>
      </w:r>
      <w:r w:rsidR="00486AE7" w:rsidRPr="00C15175">
        <w:rPr>
          <w:rFonts w:ascii="Helvetica Neue" w:hAnsi="Helvetica Neue" w:cs="Baghdad"/>
          <w:bCs/>
          <w:sz w:val="20"/>
          <w:szCs w:val="20"/>
        </w:rPr>
        <w:t>, siendo estas las únicas comunidades con unitarios inferiores al millar de euros por metro cuadrado.</w:t>
      </w:r>
    </w:p>
    <w:p w14:paraId="72C30557" w14:textId="77777777" w:rsidR="00D931D3" w:rsidRPr="00C15175" w:rsidRDefault="00D931D3" w:rsidP="009E5762">
      <w:pPr>
        <w:spacing w:line="276" w:lineRule="auto"/>
        <w:jc w:val="both"/>
        <w:rPr>
          <w:rFonts w:ascii="Helvetica Neue" w:hAnsi="Helvetica Neue" w:cs="Baghdad"/>
          <w:b/>
          <w:bCs/>
          <w:color w:val="FF0000"/>
          <w:sz w:val="20"/>
          <w:szCs w:val="20"/>
          <w:highlight w:val="yellow"/>
        </w:rPr>
      </w:pPr>
    </w:p>
    <w:p w14:paraId="035962BB" w14:textId="77777777" w:rsidR="00F10C25" w:rsidRPr="00C15175" w:rsidRDefault="00F10C25" w:rsidP="009E5762">
      <w:pPr>
        <w:spacing w:line="276" w:lineRule="auto"/>
        <w:jc w:val="both"/>
        <w:rPr>
          <w:rFonts w:ascii="Helvetica Neue" w:hAnsi="Helvetica Neue"/>
          <w:sz w:val="20"/>
          <w:szCs w:val="20"/>
          <w:highlight w:val="yellow"/>
        </w:rPr>
      </w:pPr>
    </w:p>
    <w:p w14:paraId="758DF79B" w14:textId="6A525251" w:rsidR="00B462D4" w:rsidRPr="00C15175" w:rsidRDefault="00E278B1" w:rsidP="009E5762">
      <w:pPr>
        <w:spacing w:line="276" w:lineRule="auto"/>
        <w:jc w:val="both"/>
        <w:rPr>
          <w:rFonts w:ascii="Helvetica Neue" w:hAnsi="Helvetica Neue" w:cs="Baghdad"/>
          <w:b/>
          <w:bCs/>
          <w:sz w:val="20"/>
          <w:szCs w:val="20"/>
        </w:rPr>
      </w:pPr>
      <w:r w:rsidRPr="00C15175">
        <w:rPr>
          <w:rFonts w:ascii="Helvetica Neue" w:hAnsi="Helvetica Neue" w:cs="Baghdad"/>
          <w:b/>
          <w:bCs/>
          <w:sz w:val="20"/>
          <w:szCs w:val="20"/>
        </w:rPr>
        <w:t>Inconsistencia en el crecimiento del alquiler</w:t>
      </w:r>
    </w:p>
    <w:p w14:paraId="1C4C1AAF" w14:textId="77777777" w:rsidR="00E278B1" w:rsidRPr="00C15175" w:rsidRDefault="00E278B1" w:rsidP="009E5762">
      <w:pPr>
        <w:spacing w:line="276" w:lineRule="auto"/>
        <w:jc w:val="both"/>
        <w:rPr>
          <w:rFonts w:ascii="Helvetica Neue" w:hAnsi="Helvetica Neue" w:cs="Baghdad"/>
          <w:b/>
          <w:bCs/>
          <w:sz w:val="20"/>
          <w:szCs w:val="20"/>
        </w:rPr>
      </w:pPr>
    </w:p>
    <w:p w14:paraId="0BA6CF28" w14:textId="3CEC57E3" w:rsidR="00E278B1" w:rsidRPr="00C15175" w:rsidRDefault="00E278B1" w:rsidP="009E5762">
      <w:pPr>
        <w:spacing w:line="276" w:lineRule="auto"/>
        <w:jc w:val="both"/>
        <w:rPr>
          <w:rFonts w:ascii="Helvetica Neue" w:hAnsi="Helvetica Neue" w:cs="Baghdad"/>
          <w:sz w:val="20"/>
          <w:szCs w:val="20"/>
        </w:rPr>
      </w:pPr>
      <w:r w:rsidRPr="00C15175">
        <w:rPr>
          <w:rFonts w:ascii="Helvetica Neue" w:hAnsi="Helvetica Neue" w:cs="Baghdad"/>
          <w:sz w:val="20"/>
          <w:szCs w:val="20"/>
        </w:rPr>
        <w:t>A pesar de que los precios del alquiler mantienen la tendencia al alza, s</w:t>
      </w:r>
      <w:r w:rsidR="00A41A1D">
        <w:rPr>
          <w:rFonts w:ascii="Helvetica Neue" w:hAnsi="Helvetica Neue" w:cs="Baghdad"/>
          <w:sz w:val="20"/>
          <w:szCs w:val="20"/>
        </w:rPr>
        <w:t>u</w:t>
      </w:r>
      <w:r w:rsidRPr="00C15175">
        <w:rPr>
          <w:rFonts w:ascii="Helvetica Neue" w:hAnsi="Helvetica Neue" w:cs="Baghdad"/>
          <w:sz w:val="20"/>
          <w:szCs w:val="20"/>
        </w:rPr>
        <w:t xml:space="preserve"> progresión es más irregular que los precios de venta. En este sentido, los mayores incrementos en el precio interanual del alquiler los presentan Cuenca (+12,3%), Gerona (+10,3%), Huelva (+9,1%), Málaga (+8,5%) </w:t>
      </w:r>
      <w:r w:rsidR="00311442" w:rsidRPr="00C15175">
        <w:rPr>
          <w:rFonts w:ascii="Helvetica Neue" w:hAnsi="Helvetica Neue" w:cs="Baghdad"/>
          <w:sz w:val="20"/>
          <w:szCs w:val="20"/>
        </w:rPr>
        <w:t xml:space="preserve">y </w:t>
      </w:r>
      <w:r w:rsidRPr="00C15175">
        <w:rPr>
          <w:rFonts w:ascii="Helvetica Neue" w:hAnsi="Helvetica Neue" w:cs="Baghdad"/>
          <w:sz w:val="20"/>
          <w:szCs w:val="20"/>
        </w:rPr>
        <w:t xml:space="preserve">Pontevedra (+8,2%). Por el contrario, las mayores contracciones </w:t>
      </w:r>
      <w:r w:rsidR="00311442" w:rsidRPr="00C15175">
        <w:rPr>
          <w:rFonts w:ascii="Helvetica Neue" w:hAnsi="Helvetica Neue" w:cs="Baghdad"/>
          <w:sz w:val="20"/>
          <w:szCs w:val="20"/>
        </w:rPr>
        <w:t>se observan</w:t>
      </w:r>
      <w:r w:rsidRPr="00C15175">
        <w:rPr>
          <w:rFonts w:ascii="Helvetica Neue" w:hAnsi="Helvetica Neue" w:cs="Baghdad"/>
          <w:sz w:val="20"/>
          <w:szCs w:val="20"/>
        </w:rPr>
        <w:t xml:space="preserve"> en Lérida (-6,6%), Orense (-5,2%), y Salamanca (-3,1%).</w:t>
      </w:r>
    </w:p>
    <w:p w14:paraId="62C81E2A" w14:textId="35EA7A8C" w:rsidR="00635347" w:rsidRPr="00C15175" w:rsidRDefault="00635347" w:rsidP="009E5762">
      <w:pPr>
        <w:spacing w:line="276" w:lineRule="auto"/>
        <w:jc w:val="both"/>
        <w:rPr>
          <w:rFonts w:ascii="Helvetica Neue" w:hAnsi="Helvetica Neue" w:cs="Baghdad"/>
          <w:sz w:val="20"/>
          <w:szCs w:val="20"/>
        </w:rPr>
      </w:pPr>
    </w:p>
    <w:p w14:paraId="1380B398" w14:textId="2B7C8FE5" w:rsidR="00F46F3C" w:rsidRPr="00C15175" w:rsidRDefault="00194657" w:rsidP="009E57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 w:rsidRPr="00C15175">
        <w:rPr>
          <w:rFonts w:ascii="Helvetica Neue" w:hAnsi="Helvetica Neue" w:cs="Baghdad"/>
          <w:sz w:val="20"/>
          <w:szCs w:val="20"/>
        </w:rPr>
        <w:t xml:space="preserve">Analizando el precio total, </w:t>
      </w:r>
      <w:r w:rsidR="00F46F3C" w:rsidRPr="00C15175">
        <w:rPr>
          <w:rFonts w:ascii="Helvetica Neue" w:hAnsi="Helvetica Neue" w:cs="Baghdad"/>
          <w:sz w:val="20"/>
          <w:szCs w:val="20"/>
        </w:rPr>
        <w:t>Barcelona ha vuelto a superar la barrera de los 16</w:t>
      </w:r>
      <w:r w:rsidR="00F46F3C" w:rsidRPr="00C15175">
        <w:rPr>
          <w:rFonts w:ascii="Times New Roman" w:hAnsi="Times New Roman" w:cs="Times New Roman"/>
          <w:sz w:val="20"/>
          <w:szCs w:val="20"/>
        </w:rPr>
        <w:t>€</w:t>
      </w:r>
      <w:r w:rsidR="00F46F3C" w:rsidRPr="00C15175">
        <w:rPr>
          <w:rFonts w:ascii="Helvetica Neue" w:hAnsi="Helvetica Neue" w:cs="Baghdad"/>
          <w:sz w:val="20"/>
          <w:szCs w:val="20"/>
        </w:rPr>
        <w:t xml:space="preserve">/m2/mes, </w:t>
      </w:r>
      <w:r w:rsidR="00635765" w:rsidRPr="00C15175">
        <w:rPr>
          <w:rFonts w:ascii="Helvetica Neue" w:hAnsi="Helvetica Neue" w:cs="Baghdad"/>
          <w:sz w:val="20"/>
          <w:szCs w:val="20"/>
        </w:rPr>
        <w:t>siendo l</w:t>
      </w:r>
      <w:r w:rsidR="002C553E" w:rsidRPr="00C15175">
        <w:rPr>
          <w:rFonts w:ascii="Helvetica Neue" w:hAnsi="Helvetica Neue" w:cs="Baghdad"/>
          <w:sz w:val="20"/>
          <w:szCs w:val="20"/>
        </w:rPr>
        <w:t xml:space="preserve">a única provincia que lo ha hecho y situándose al frente del ranking nacional. Tras ella se han situado Madrid (15,00 </w:t>
      </w:r>
      <w:r w:rsidR="002C553E" w:rsidRPr="00C15175">
        <w:rPr>
          <w:rFonts w:ascii="Times New Roman" w:hAnsi="Times New Roman" w:cs="Times New Roman"/>
          <w:sz w:val="20"/>
          <w:szCs w:val="20"/>
        </w:rPr>
        <w:t>€</w:t>
      </w:r>
      <w:r w:rsidR="002C553E" w:rsidRPr="00C15175">
        <w:rPr>
          <w:rFonts w:ascii="Helvetica Neue" w:hAnsi="Helvetica Neue" w:cs="Baghdad"/>
          <w:sz w:val="20"/>
          <w:szCs w:val="20"/>
        </w:rPr>
        <w:t>/m</w:t>
      </w:r>
      <w:r w:rsidR="002C553E" w:rsidRPr="00C15175">
        <w:rPr>
          <w:rFonts w:ascii="Helvetica Neue" w:hAnsi="Helvetica Neue" w:cs="Helvetica Neue"/>
          <w:sz w:val="20"/>
          <w:szCs w:val="20"/>
        </w:rPr>
        <w:t>²</w:t>
      </w:r>
      <w:r w:rsidR="002C553E" w:rsidRPr="00C15175">
        <w:rPr>
          <w:rFonts w:ascii="Helvetica Neue" w:hAnsi="Helvetica Neue" w:cs="Baghdad"/>
          <w:sz w:val="20"/>
          <w:szCs w:val="20"/>
        </w:rPr>
        <w:t xml:space="preserve">/mes), Guipúzcoa (14,63 </w:t>
      </w:r>
      <w:r w:rsidR="002C553E" w:rsidRPr="00C15175">
        <w:rPr>
          <w:rFonts w:ascii="Times New Roman" w:hAnsi="Times New Roman" w:cs="Times New Roman"/>
          <w:sz w:val="20"/>
          <w:szCs w:val="20"/>
        </w:rPr>
        <w:t>€</w:t>
      </w:r>
      <w:r w:rsidR="002C553E" w:rsidRPr="00C15175">
        <w:rPr>
          <w:rFonts w:ascii="Helvetica Neue" w:hAnsi="Helvetica Neue" w:cs="Baghdad"/>
          <w:sz w:val="20"/>
          <w:szCs w:val="20"/>
        </w:rPr>
        <w:t>/m</w:t>
      </w:r>
      <w:r w:rsidR="002C553E" w:rsidRPr="00C15175">
        <w:rPr>
          <w:rFonts w:ascii="Helvetica Neue" w:hAnsi="Helvetica Neue" w:cs="Helvetica Neue"/>
          <w:sz w:val="20"/>
          <w:szCs w:val="20"/>
        </w:rPr>
        <w:t>²</w:t>
      </w:r>
      <w:r w:rsidR="002C553E" w:rsidRPr="00C15175">
        <w:rPr>
          <w:rFonts w:ascii="Helvetica Neue" w:hAnsi="Helvetica Neue" w:cs="Baghdad"/>
          <w:sz w:val="20"/>
          <w:szCs w:val="20"/>
        </w:rPr>
        <w:t xml:space="preserve">/mes) y Baleares (13,71 </w:t>
      </w:r>
      <w:r w:rsidR="002C553E" w:rsidRPr="00C15175">
        <w:rPr>
          <w:rFonts w:ascii="Times New Roman" w:hAnsi="Times New Roman" w:cs="Times New Roman"/>
          <w:sz w:val="20"/>
          <w:szCs w:val="20"/>
        </w:rPr>
        <w:t>€</w:t>
      </w:r>
      <w:r w:rsidR="002C553E" w:rsidRPr="00C15175">
        <w:rPr>
          <w:rFonts w:ascii="Helvetica Neue" w:hAnsi="Helvetica Neue" w:cs="Baghdad"/>
          <w:sz w:val="20"/>
          <w:szCs w:val="20"/>
        </w:rPr>
        <w:t xml:space="preserve">/m²/mes). En la parte baja de la tabla, entre las provincias con menor </w:t>
      </w:r>
      <w:r w:rsidR="00A82450" w:rsidRPr="00C15175">
        <w:rPr>
          <w:rFonts w:ascii="Helvetica Neue" w:hAnsi="Helvetica Neue" w:cs="Baghdad"/>
          <w:sz w:val="20"/>
          <w:szCs w:val="20"/>
        </w:rPr>
        <w:t xml:space="preserve">tendencia al alquiler y, por tanto, menores rentas, se han posicionado Jaén, Cuenca y Teruel, </w:t>
      </w:r>
      <w:r w:rsidR="002C553E" w:rsidRPr="00C15175">
        <w:rPr>
          <w:rFonts w:ascii="Helvetica Neue" w:hAnsi="Helvetica Neue" w:cs="Baghdad"/>
          <w:sz w:val="20"/>
          <w:szCs w:val="20"/>
        </w:rPr>
        <w:t xml:space="preserve">todas con unitarios de renta por debajo de los 5 </w:t>
      </w:r>
      <w:r w:rsidR="002C553E" w:rsidRPr="00C15175">
        <w:rPr>
          <w:rFonts w:ascii="Times New Roman" w:hAnsi="Times New Roman" w:cs="Times New Roman"/>
          <w:sz w:val="20"/>
          <w:szCs w:val="20"/>
        </w:rPr>
        <w:t>€</w:t>
      </w:r>
      <w:r w:rsidR="002C553E" w:rsidRPr="00C15175">
        <w:rPr>
          <w:rFonts w:ascii="Helvetica Neue" w:hAnsi="Helvetica Neue" w:cs="Baghdad"/>
          <w:sz w:val="20"/>
          <w:szCs w:val="20"/>
        </w:rPr>
        <w:t>/m²/</w:t>
      </w:r>
      <w:r w:rsidR="002C553E" w:rsidRPr="00C15175">
        <w:rPr>
          <w:rFonts w:ascii="Helvetica Neue" w:hAnsi="Helvetica Neue" w:cs="Baghdad"/>
          <w:bCs/>
          <w:sz w:val="20"/>
          <w:szCs w:val="20"/>
        </w:rPr>
        <w:t>mes.</w:t>
      </w:r>
    </w:p>
    <w:p w14:paraId="067171D9" w14:textId="77777777" w:rsidR="00A82450" w:rsidRPr="00C15175" w:rsidRDefault="00A82450" w:rsidP="009E57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64200AC7" w14:textId="08576915" w:rsidR="00F639FE" w:rsidRPr="00C15175" w:rsidRDefault="00A82450" w:rsidP="009E57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 w:rsidRPr="00C15175">
        <w:rPr>
          <w:rFonts w:ascii="Helvetica Neue" w:hAnsi="Helvetica Neue" w:cs="Baghdad"/>
          <w:bCs/>
          <w:sz w:val="20"/>
          <w:szCs w:val="20"/>
        </w:rPr>
        <w:t xml:space="preserve">Poniendo el foco a nivel municipal, la tendencia ha sido similar a la provincial. </w:t>
      </w:r>
      <w:r w:rsidR="00F639FE" w:rsidRPr="00C15175">
        <w:rPr>
          <w:rFonts w:ascii="Helvetica Neue" w:hAnsi="Helvetica Neue" w:cs="Baghdad"/>
          <w:bCs/>
          <w:sz w:val="20"/>
          <w:szCs w:val="20"/>
        </w:rPr>
        <w:t xml:space="preserve">los únicos municipios con rentas superiores a los 15 </w:t>
      </w:r>
      <w:r w:rsidR="00F639FE" w:rsidRPr="00C15175">
        <w:rPr>
          <w:rFonts w:ascii="Times New Roman" w:hAnsi="Times New Roman" w:cs="Times New Roman"/>
          <w:bCs/>
          <w:sz w:val="20"/>
          <w:szCs w:val="20"/>
        </w:rPr>
        <w:t>€</w:t>
      </w:r>
      <w:r w:rsidR="00F639FE" w:rsidRPr="00C15175">
        <w:rPr>
          <w:rFonts w:ascii="Helvetica Neue" w:hAnsi="Helvetica Neue" w:cs="Baghdad"/>
          <w:bCs/>
          <w:sz w:val="20"/>
          <w:szCs w:val="20"/>
        </w:rPr>
        <w:t xml:space="preserve">/m²/mes siguen siendo Barcelona, Madrid, San Sebastián; al que se ha unido en estos tres meses Castelldefels, que alcanza los 15,12 </w:t>
      </w:r>
      <w:r w:rsidR="00F639FE" w:rsidRPr="00C15175">
        <w:rPr>
          <w:rFonts w:ascii="Times New Roman" w:hAnsi="Times New Roman" w:cs="Times New Roman"/>
          <w:bCs/>
          <w:sz w:val="20"/>
          <w:szCs w:val="20"/>
        </w:rPr>
        <w:t>€</w:t>
      </w:r>
      <w:r w:rsidR="00F639FE" w:rsidRPr="00C15175">
        <w:rPr>
          <w:rFonts w:ascii="Helvetica Neue" w:hAnsi="Helvetica Neue" w:cs="Baghdad"/>
          <w:bCs/>
          <w:sz w:val="20"/>
          <w:szCs w:val="20"/>
        </w:rPr>
        <w:t xml:space="preserve">/m²/mes. En estas ciudades, los precios de alquiler de vivienda media de 90 m² </w:t>
      </w:r>
      <w:r w:rsidR="00A41A1D">
        <w:rPr>
          <w:rFonts w:ascii="Helvetica Neue" w:hAnsi="Helvetica Neue" w:cs="Baghdad"/>
          <w:bCs/>
          <w:sz w:val="20"/>
          <w:szCs w:val="20"/>
        </w:rPr>
        <w:t>sitúan su promedio</w:t>
      </w:r>
      <w:r w:rsidR="00F639FE" w:rsidRPr="00C15175">
        <w:rPr>
          <w:rFonts w:ascii="Helvetica Neue" w:hAnsi="Helvetica Neue" w:cs="Baghdad"/>
          <w:bCs/>
          <w:sz w:val="20"/>
          <w:szCs w:val="20"/>
        </w:rPr>
        <w:t xml:space="preserve"> en torno a los 1.600</w:t>
      </w:r>
      <w:r w:rsidR="00F639FE" w:rsidRPr="00C15175">
        <w:rPr>
          <w:rFonts w:ascii="Times New Roman" w:hAnsi="Times New Roman" w:cs="Times New Roman"/>
          <w:bCs/>
          <w:sz w:val="20"/>
          <w:szCs w:val="20"/>
        </w:rPr>
        <w:t>€</w:t>
      </w:r>
      <w:r w:rsidR="00F639FE" w:rsidRPr="00C15175">
        <w:rPr>
          <w:rFonts w:ascii="Helvetica Neue" w:hAnsi="Helvetica Neue" w:cs="Baghdad"/>
          <w:bCs/>
          <w:sz w:val="20"/>
          <w:szCs w:val="20"/>
        </w:rPr>
        <w:t xml:space="preserve">. En cambio, los municipios de más de 50.000 habitantes con el alquiler de vivienda más bajo son Elda, Linares, Puertollano, Lorca y Ponferrada; con unitarios inferiores a los 5 </w:t>
      </w:r>
      <w:r w:rsidR="00F639FE" w:rsidRPr="00C15175">
        <w:rPr>
          <w:rFonts w:ascii="Times New Roman" w:hAnsi="Times New Roman" w:cs="Times New Roman"/>
          <w:bCs/>
          <w:sz w:val="20"/>
          <w:szCs w:val="20"/>
        </w:rPr>
        <w:t>€</w:t>
      </w:r>
      <w:r w:rsidR="00F639FE" w:rsidRPr="00C15175">
        <w:rPr>
          <w:rFonts w:ascii="Helvetica Neue" w:hAnsi="Helvetica Neue" w:cs="Baghdad"/>
          <w:bCs/>
          <w:sz w:val="20"/>
          <w:szCs w:val="20"/>
        </w:rPr>
        <w:t>/m²/mes.</w:t>
      </w:r>
    </w:p>
    <w:p w14:paraId="60331B66" w14:textId="77777777" w:rsidR="00F52A09" w:rsidRPr="00C15175" w:rsidRDefault="00F52A09" w:rsidP="009E57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4D2BC7EC" w14:textId="1C6708D2" w:rsidR="009E5762" w:rsidRDefault="009E5762" w:rsidP="009E57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37CA30FD" w14:textId="77777777" w:rsidR="00A41A1D" w:rsidRPr="00C15175" w:rsidRDefault="00A41A1D" w:rsidP="009E57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729D6DBE" w14:textId="0DC8E836" w:rsidR="000167CC" w:rsidRPr="00C15175" w:rsidRDefault="00571A88" w:rsidP="009E5762">
      <w:pPr>
        <w:spacing w:line="276" w:lineRule="auto"/>
        <w:jc w:val="both"/>
        <w:rPr>
          <w:rFonts w:ascii="Helvetica Neue" w:hAnsi="Helvetica Neue" w:cs="Baghdad"/>
          <w:b/>
          <w:bCs/>
          <w:sz w:val="20"/>
          <w:szCs w:val="20"/>
          <w:highlight w:val="yellow"/>
        </w:rPr>
      </w:pPr>
      <w:r w:rsidRPr="00C15175">
        <w:rPr>
          <w:rFonts w:ascii="Helvetica Neue" w:hAnsi="Helvetica Neue" w:cs="Baghdad"/>
          <w:b/>
          <w:bCs/>
          <w:sz w:val="20"/>
          <w:szCs w:val="20"/>
        </w:rPr>
        <w:t>La oferta de vivienda trata de alcanzar la demanda</w:t>
      </w:r>
    </w:p>
    <w:p w14:paraId="47B1DB47" w14:textId="77777777" w:rsidR="00571A88" w:rsidRPr="00C15175" w:rsidRDefault="00571A88" w:rsidP="009E5762">
      <w:pPr>
        <w:spacing w:line="276" w:lineRule="auto"/>
        <w:jc w:val="both"/>
        <w:rPr>
          <w:rFonts w:ascii="Helvetica Neue" w:hAnsi="Helvetica Neue" w:cs="Baghdad"/>
          <w:b/>
          <w:bCs/>
          <w:sz w:val="20"/>
          <w:szCs w:val="20"/>
          <w:highlight w:val="yellow"/>
        </w:rPr>
      </w:pPr>
    </w:p>
    <w:p w14:paraId="6B61CD9C" w14:textId="1BA1F5F2" w:rsidR="00571A88" w:rsidRPr="00C15175" w:rsidRDefault="00571A88" w:rsidP="009E5762">
      <w:pPr>
        <w:spacing w:line="276" w:lineRule="auto"/>
        <w:jc w:val="both"/>
        <w:rPr>
          <w:rFonts w:ascii="Helvetica Neue" w:hAnsi="Helvetica Neue" w:cs="Baghdad"/>
          <w:sz w:val="20"/>
          <w:szCs w:val="20"/>
        </w:rPr>
      </w:pPr>
      <w:r w:rsidRPr="00C15175">
        <w:rPr>
          <w:rFonts w:ascii="Helvetica Neue" w:hAnsi="Helvetica Neue" w:cs="Baghdad"/>
          <w:sz w:val="20"/>
          <w:szCs w:val="20"/>
        </w:rPr>
        <w:t>El año 2021 se ha caracterizado por el gran esfuerzo y la gran resistencia del sector promotor, que ha hecho frente al incremento actual de la demanda de vivienda</w:t>
      </w:r>
      <w:r w:rsidR="00F021ED">
        <w:rPr>
          <w:rFonts w:ascii="Helvetica Neue" w:hAnsi="Helvetica Neue" w:cs="Baghdad"/>
          <w:sz w:val="20"/>
          <w:szCs w:val="20"/>
        </w:rPr>
        <w:t xml:space="preserve">. </w:t>
      </w:r>
      <w:r w:rsidR="00596E11" w:rsidRPr="00C15175">
        <w:rPr>
          <w:rFonts w:ascii="Helvetica Neue" w:hAnsi="Helvetica Neue" w:cs="Baghdad"/>
          <w:sz w:val="20"/>
          <w:szCs w:val="20"/>
        </w:rPr>
        <w:t>Durante todo el año, el</w:t>
      </w:r>
      <w:r w:rsidR="00596E11" w:rsidRPr="00C15175">
        <w:rPr>
          <w:rFonts w:ascii="Helvetica Neue" w:hAnsi="Helvetica Neue"/>
        </w:rPr>
        <w:t xml:space="preserve"> </w:t>
      </w:r>
      <w:r w:rsidR="00596E11" w:rsidRPr="00C15175">
        <w:rPr>
          <w:rFonts w:ascii="Helvetica Neue" w:hAnsi="Helvetica Neue" w:cs="Baghdad"/>
          <w:sz w:val="20"/>
          <w:szCs w:val="20"/>
        </w:rPr>
        <w:t>número de certificaciones finales de obra y de visados de dirección de obra han reflejado un fuerte incremento respecto al año pasado, algo normal teniendo en cuenta la excepcionalidad de los meses de marzo, abril y mayo de 2020. Los visados de dirección de obra se han incrementado en un 26,6%, mientras que los certificados finales de obra lo han hecho en un 6,1%.  Las comunidades en las que más certificaciones se han aprobado siguen siendo la Comunidad de Madrid, la Comunidad Valencia y Andalucía; mientras que, en el volumen de visados de dirección de obra, Andalucía se sitúa en cabeza, seguida de la Comunidad de Madrid y de Cataluña.</w:t>
      </w:r>
    </w:p>
    <w:p w14:paraId="1C87F621" w14:textId="77777777" w:rsidR="000167CC" w:rsidRPr="00345333" w:rsidRDefault="000167CC" w:rsidP="000167CC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  <w:highlight w:val="yellow"/>
        </w:rPr>
      </w:pPr>
    </w:p>
    <w:p w14:paraId="70B28C4A" w14:textId="77777777" w:rsidR="00D44A7F" w:rsidRDefault="00D44A7F" w:rsidP="00645637">
      <w:pPr>
        <w:spacing w:line="276" w:lineRule="auto"/>
        <w:jc w:val="both"/>
        <w:rPr>
          <w:rFonts w:ascii="Cambria" w:hAnsi="Cambria" w:cs="Baghdad"/>
          <w:bCs/>
          <w:lang w:val="es-ES"/>
        </w:rPr>
      </w:pPr>
    </w:p>
    <w:p w14:paraId="457831ED" w14:textId="77777777" w:rsidR="000167CC" w:rsidRPr="00A51289" w:rsidRDefault="000167CC" w:rsidP="000167C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b/>
          <w:bCs/>
          <w:sz w:val="18"/>
          <w:szCs w:val="18"/>
        </w:rPr>
      </w:pPr>
      <w:bookmarkStart w:id="2" w:name="_Hlk510432707"/>
      <w:bookmarkEnd w:id="1"/>
      <w:r w:rsidRPr="00A51289">
        <w:rPr>
          <w:rFonts w:ascii="Helvetica Neue" w:hAnsi="Helvetica Neue" w:cs="Baghdad"/>
          <w:b/>
          <w:bCs/>
          <w:sz w:val="18"/>
          <w:szCs w:val="18"/>
        </w:rPr>
        <w:t xml:space="preserve">Acerca de </w:t>
      </w:r>
      <w:proofErr w:type="spellStart"/>
      <w:r w:rsidRPr="00A51289">
        <w:rPr>
          <w:rFonts w:ascii="Helvetica Neue" w:hAnsi="Helvetica Neue" w:cs="Baghdad"/>
          <w:b/>
          <w:bCs/>
          <w:sz w:val="18"/>
          <w:szCs w:val="18"/>
        </w:rPr>
        <w:t>Gesvalt</w:t>
      </w:r>
      <w:proofErr w:type="spellEnd"/>
    </w:p>
    <w:p w14:paraId="2F203461" w14:textId="77777777" w:rsidR="000167CC" w:rsidRPr="00A51289" w:rsidRDefault="000167CC" w:rsidP="000167C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proofErr w:type="spellStart"/>
      <w:r w:rsidRPr="00A51289">
        <w:rPr>
          <w:rFonts w:ascii="Helvetica Neue" w:hAnsi="Helvetica Neue" w:cs="Baghdad"/>
          <w:color w:val="0000FF"/>
          <w:sz w:val="18"/>
          <w:szCs w:val="18"/>
        </w:rPr>
        <w:t>Gesvalt</w:t>
      </w:r>
      <w:proofErr w:type="spellEnd"/>
      <w:r w:rsidRPr="00A51289">
        <w:rPr>
          <w:rFonts w:ascii="Helvetica Neue" w:hAnsi="Helvetica Neue" w:cs="Baghdad"/>
          <w:color w:val="0000FF"/>
          <w:sz w:val="18"/>
          <w:szCs w:val="18"/>
        </w:rPr>
        <w:t xml:space="preserve"> </w:t>
      </w:r>
      <w:r w:rsidRPr="00A51289">
        <w:rPr>
          <w:rFonts w:ascii="Helvetica Neue" w:hAnsi="Helvetica Neue" w:cs="Baghdad"/>
          <w:sz w:val="18"/>
          <w:szCs w:val="18"/>
        </w:rPr>
        <w:t xml:space="preserve">es una compañía de referencia en el sector de la consultoría, valoración y actuaciones técnicas. Su experiencia de más de 25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01863A92" w14:textId="77777777" w:rsidR="000167CC" w:rsidRPr="00A51289" w:rsidRDefault="000167CC" w:rsidP="000167C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sz w:val="18"/>
          <w:szCs w:val="18"/>
        </w:rPr>
        <w:t>Cuenta con gran implantación de oficinas en España, Portugal y Colombia. La firma forma parte también de la red internacional VRG que le permite operar en los principales países del mundo</w:t>
      </w:r>
    </w:p>
    <w:p w14:paraId="1581918A" w14:textId="77777777" w:rsidR="000167CC" w:rsidRDefault="000167CC" w:rsidP="000167C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sz w:val="18"/>
          <w:szCs w:val="18"/>
        </w:rPr>
        <w:t xml:space="preserve">Puedes seguirnos en: </w:t>
      </w:r>
    </w:p>
    <w:p w14:paraId="26B90BD7" w14:textId="77777777" w:rsidR="000167CC" w:rsidRPr="00A51289" w:rsidRDefault="000167CC" w:rsidP="000167C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>
        <w:rPr>
          <w:noProof/>
        </w:rPr>
        <w:drawing>
          <wp:inline distT="0" distB="0" distL="0" distR="0" wp14:anchorId="54F6ABB3" wp14:editId="1625E173">
            <wp:extent cx="2012950" cy="400859"/>
            <wp:effectExtent l="0" t="0" r="0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41" b="40145"/>
                    <a:stretch/>
                  </pic:blipFill>
                  <pic:spPr bwMode="auto">
                    <a:xfrm>
                      <a:off x="0" y="0"/>
                      <a:ext cx="2049799" cy="40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DA1F8D" w14:textId="5EC4ACFC" w:rsidR="000167CC" w:rsidRPr="00A51289" w:rsidRDefault="000167CC" w:rsidP="009E5762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Times"/>
          <w:sz w:val="18"/>
          <w:szCs w:val="18"/>
        </w:rPr>
      </w:pPr>
      <w:r w:rsidRPr="00A51289">
        <w:rPr>
          <w:rFonts w:ascii="Helvetica Neue" w:hAnsi="Helvetica Neue" w:cs="Times"/>
          <w:sz w:val="18"/>
          <w:szCs w:val="18"/>
        </w:rPr>
        <w:t xml:space="preserve"> </w:t>
      </w:r>
      <w:r w:rsidRPr="00A51289">
        <w:rPr>
          <w:rFonts w:ascii="Helvetica Neue" w:hAnsi="Helvetica Neue" w:cs="Times"/>
          <w:b/>
          <w:bCs/>
          <w:sz w:val="18"/>
          <w:szCs w:val="18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167CC" w:rsidRPr="00A51289" w14:paraId="6B71FAA5" w14:textId="77777777" w:rsidTr="00234CC4">
        <w:tc>
          <w:tcPr>
            <w:tcW w:w="4414" w:type="dxa"/>
            <w:hideMark/>
          </w:tcPr>
          <w:p w14:paraId="2AF94B5D" w14:textId="77777777" w:rsidR="000167CC" w:rsidRPr="00A51289" w:rsidRDefault="000167CC" w:rsidP="00234CC4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Gema Gómez </w:t>
            </w:r>
          </w:p>
          <w:p w14:paraId="38CCF691" w14:textId="575544D3" w:rsidR="000167CC" w:rsidRPr="00A51289" w:rsidRDefault="000167CC" w:rsidP="00234CC4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>Paseo de la Castellana, 1</w:t>
            </w:r>
            <w:r w:rsidR="00927EAF">
              <w:rPr>
                <w:rFonts w:ascii="Helvetica Neue" w:hAnsi="Helvetica Neue"/>
                <w:sz w:val="18"/>
                <w:szCs w:val="18"/>
              </w:rPr>
              <w:t>64</w:t>
            </w:r>
            <w:r w:rsidRPr="00A51289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  <w:p w14:paraId="2A1BF2F7" w14:textId="77777777" w:rsidR="000167CC" w:rsidRPr="00A51289" w:rsidRDefault="000167CC" w:rsidP="00234CC4">
            <w:pPr>
              <w:rPr>
                <w:rFonts w:ascii="Helvetica Neue" w:hAnsi="Helvetica Neue"/>
                <w:color w:val="0B4CB4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28046 – Madrid </w:t>
            </w:r>
            <w:hyperlink r:id="rId14" w:history="1">
              <w:r w:rsidRPr="00A51289">
                <w:rPr>
                  <w:rStyle w:val="Hipervnculo"/>
                  <w:rFonts w:ascii="Helvetica Neue" w:hAnsi="Helvetica Neue" w:cs="Times"/>
                  <w:sz w:val="18"/>
                  <w:szCs w:val="18"/>
                </w:rPr>
                <w:t>ggomez@gesvalt.es</w:t>
              </w:r>
            </w:hyperlink>
            <w:r w:rsidRPr="00A51289">
              <w:rPr>
                <w:rFonts w:ascii="Helvetica Neue" w:hAnsi="Helvetica Neue"/>
                <w:color w:val="0B4CB4"/>
                <w:sz w:val="18"/>
                <w:szCs w:val="18"/>
              </w:rPr>
              <w:t xml:space="preserve"> </w:t>
            </w:r>
          </w:p>
          <w:p w14:paraId="0D44C2DA" w14:textId="77777777" w:rsidR="000167CC" w:rsidRPr="00A51289" w:rsidRDefault="000167CC" w:rsidP="00234CC4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21F3E5DC" w14:textId="77777777" w:rsidR="000167CC" w:rsidRPr="00A51289" w:rsidRDefault="000167CC" w:rsidP="00234CC4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Eva Tuñas </w:t>
            </w:r>
          </w:p>
          <w:p w14:paraId="24C5F966" w14:textId="77777777" w:rsidR="000167CC" w:rsidRPr="00A51289" w:rsidRDefault="000167CC" w:rsidP="00234CC4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color w:val="0B4CB4"/>
                <w:sz w:val="18"/>
                <w:szCs w:val="18"/>
              </w:rPr>
              <w:t>etunas@kreab.com</w:t>
            </w:r>
          </w:p>
          <w:p w14:paraId="59FD74AD" w14:textId="77777777" w:rsidR="000167CC" w:rsidRPr="00A51289" w:rsidRDefault="000167CC" w:rsidP="00234CC4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>+34 635186419</w:t>
            </w:r>
          </w:p>
        </w:tc>
      </w:tr>
      <w:tr w:rsidR="000167CC" w:rsidRPr="005C0E46" w14:paraId="722D7537" w14:textId="77777777" w:rsidTr="00234CC4">
        <w:tc>
          <w:tcPr>
            <w:tcW w:w="4414" w:type="dxa"/>
          </w:tcPr>
          <w:p w14:paraId="0EA97811" w14:textId="77777777" w:rsidR="000167CC" w:rsidRPr="00A51289" w:rsidRDefault="000167CC" w:rsidP="00234CC4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4414" w:type="dxa"/>
            <w:hideMark/>
          </w:tcPr>
          <w:p w14:paraId="166FDBDA" w14:textId="77777777" w:rsidR="000167CC" w:rsidRPr="00A51289" w:rsidRDefault="000167CC" w:rsidP="00234CC4">
            <w:pPr>
              <w:rPr>
                <w:rFonts w:ascii="Helvetica Neue" w:hAnsi="Helvetica Neue"/>
                <w:sz w:val="18"/>
                <w:szCs w:val="18"/>
                <w:lang w:val="it-IT"/>
              </w:rPr>
            </w:pPr>
            <w:r w:rsidRPr="00A51289">
              <w:rPr>
                <w:rFonts w:ascii="Helvetica Neue" w:hAnsi="Helvetica Neue"/>
                <w:sz w:val="18"/>
                <w:szCs w:val="18"/>
                <w:lang w:val="it-IT"/>
              </w:rPr>
              <w:t xml:space="preserve">Daniel Santiago </w:t>
            </w:r>
          </w:p>
          <w:p w14:paraId="5C51EC19" w14:textId="77777777" w:rsidR="000167CC" w:rsidRPr="00A51289" w:rsidRDefault="000167CC" w:rsidP="00234CC4">
            <w:pPr>
              <w:rPr>
                <w:rFonts w:ascii="Helvetica Neue" w:hAnsi="Helvetica Neue"/>
                <w:sz w:val="18"/>
                <w:szCs w:val="18"/>
                <w:lang w:val="it-IT"/>
              </w:rPr>
            </w:pPr>
            <w:r w:rsidRPr="00A51289">
              <w:rPr>
                <w:rFonts w:ascii="Helvetica Neue" w:hAnsi="Helvetica Neue"/>
                <w:color w:val="0B4CB4"/>
                <w:sz w:val="18"/>
                <w:szCs w:val="18"/>
                <w:lang w:val="it-IT"/>
              </w:rPr>
              <w:t>dsantiago@kreab.com</w:t>
            </w:r>
          </w:p>
          <w:p w14:paraId="4DDB53DF" w14:textId="77777777" w:rsidR="000167CC" w:rsidRPr="00A51289" w:rsidRDefault="000167CC" w:rsidP="00234CC4">
            <w:pPr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A51289">
              <w:rPr>
                <w:rFonts w:ascii="Helvetica Neue" w:hAnsi="Helvetica Neue"/>
                <w:sz w:val="18"/>
                <w:szCs w:val="18"/>
                <w:lang w:val="en-GB"/>
              </w:rPr>
              <w:t>+</w:t>
            </w:r>
            <w:proofErr w:type="gramStart"/>
            <w:r w:rsidRPr="00A51289">
              <w:rPr>
                <w:rFonts w:ascii="Helvetica Neue" w:hAnsi="Helvetica Neue"/>
                <w:sz w:val="18"/>
                <w:szCs w:val="18"/>
                <w:lang w:val="en-GB"/>
              </w:rPr>
              <w:t>34  692</w:t>
            </w:r>
            <w:proofErr w:type="gramEnd"/>
            <w:r w:rsidRPr="00A51289">
              <w:rPr>
                <w:rFonts w:ascii="Helvetica Neue" w:hAnsi="Helvetica Neue"/>
                <w:sz w:val="18"/>
                <w:szCs w:val="18"/>
                <w:lang w:val="en-GB"/>
              </w:rPr>
              <w:t xml:space="preserve"> 52 87 60</w:t>
            </w:r>
          </w:p>
        </w:tc>
      </w:tr>
      <w:bookmarkEnd w:id="2"/>
    </w:tbl>
    <w:p w14:paraId="54670864" w14:textId="510BE0D1" w:rsidR="00920080" w:rsidRPr="000167CC" w:rsidRDefault="00920080" w:rsidP="009E576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/>
          <w:sz w:val="20"/>
          <w:szCs w:val="20"/>
          <w:lang w:val="en-US"/>
        </w:rPr>
      </w:pPr>
    </w:p>
    <w:sectPr w:rsidR="00920080" w:rsidRPr="000167CC" w:rsidSect="00920080">
      <w:headerReference w:type="default" r:id="rId15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A589" w14:textId="77777777" w:rsidR="00B322E6" w:rsidRDefault="00B322E6" w:rsidP="00AD6E95">
      <w:r>
        <w:separator/>
      </w:r>
    </w:p>
  </w:endnote>
  <w:endnote w:type="continuationSeparator" w:id="0">
    <w:p w14:paraId="15A69077" w14:textId="77777777" w:rsidR="00B322E6" w:rsidRDefault="00B322E6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imes">
    <w:altName w:val="﷽﷽﷽﷽﷽﷽﷽﷽ౢ뫝洀Ç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hdad">
    <w:altName w:val="﷽﷽﷽﷽﷽﷽﷽﷽䛠:恀"/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0985" w14:textId="77777777" w:rsidR="00B322E6" w:rsidRDefault="00B322E6" w:rsidP="00AD6E95">
      <w:r>
        <w:separator/>
      </w:r>
    </w:p>
  </w:footnote>
  <w:footnote w:type="continuationSeparator" w:id="0">
    <w:p w14:paraId="087C6957" w14:textId="77777777" w:rsidR="00B322E6" w:rsidRDefault="00B322E6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8045" w14:textId="39DFDF41" w:rsidR="004909DE" w:rsidRDefault="008E65DB" w:rsidP="00AB794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27A773" wp14:editId="2C356386">
          <wp:simplePos x="0" y="0"/>
          <wp:positionH relativeFrom="margin">
            <wp:align>right</wp:align>
          </wp:positionH>
          <wp:positionV relativeFrom="paragraph">
            <wp:posOffset>-69850</wp:posOffset>
          </wp:positionV>
          <wp:extent cx="2087001" cy="424815"/>
          <wp:effectExtent l="0" t="0" r="0" b="0"/>
          <wp:wrapSquare wrapText="bothSides"/>
          <wp:docPr id="1" name="Imagen 1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001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09DE">
      <w:t xml:space="preserve">                                                             </w:t>
    </w:r>
  </w:p>
  <w:p w14:paraId="4A5A30E0" w14:textId="1BF8FBC8" w:rsidR="00874910" w:rsidRDefault="00874910" w:rsidP="00AB7942">
    <w:pPr>
      <w:pStyle w:val="Encabezado"/>
    </w:pPr>
  </w:p>
  <w:p w14:paraId="5FD620E8" w14:textId="402E7B60" w:rsidR="00874910" w:rsidRDefault="00874910" w:rsidP="008749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5"/>
    <w:rsid w:val="0000754A"/>
    <w:rsid w:val="000167CC"/>
    <w:rsid w:val="000209E5"/>
    <w:rsid w:val="000252D8"/>
    <w:rsid w:val="00026219"/>
    <w:rsid w:val="00030C2A"/>
    <w:rsid w:val="00031AAE"/>
    <w:rsid w:val="00032900"/>
    <w:rsid w:val="00034096"/>
    <w:rsid w:val="0003461D"/>
    <w:rsid w:val="000377E2"/>
    <w:rsid w:val="000413AB"/>
    <w:rsid w:val="000437F8"/>
    <w:rsid w:val="00052522"/>
    <w:rsid w:val="00055F34"/>
    <w:rsid w:val="0006354D"/>
    <w:rsid w:val="00063E68"/>
    <w:rsid w:val="00073522"/>
    <w:rsid w:val="00076324"/>
    <w:rsid w:val="00082F17"/>
    <w:rsid w:val="0008443E"/>
    <w:rsid w:val="00090367"/>
    <w:rsid w:val="000961DD"/>
    <w:rsid w:val="00096772"/>
    <w:rsid w:val="000970CB"/>
    <w:rsid w:val="000A29A9"/>
    <w:rsid w:val="000A3084"/>
    <w:rsid w:val="000B0265"/>
    <w:rsid w:val="000B3FDF"/>
    <w:rsid w:val="000C50D5"/>
    <w:rsid w:val="000C5AF9"/>
    <w:rsid w:val="000D2536"/>
    <w:rsid w:val="000D68BD"/>
    <w:rsid w:val="000E1695"/>
    <w:rsid w:val="000E1D3E"/>
    <w:rsid w:val="000E770F"/>
    <w:rsid w:val="000F12B8"/>
    <w:rsid w:val="000F4000"/>
    <w:rsid w:val="001118B8"/>
    <w:rsid w:val="00115867"/>
    <w:rsid w:val="001159D3"/>
    <w:rsid w:val="001169FC"/>
    <w:rsid w:val="001179F0"/>
    <w:rsid w:val="00121C5D"/>
    <w:rsid w:val="00123696"/>
    <w:rsid w:val="00124E9E"/>
    <w:rsid w:val="0012610B"/>
    <w:rsid w:val="00126AD3"/>
    <w:rsid w:val="001350F7"/>
    <w:rsid w:val="0013667B"/>
    <w:rsid w:val="0014393A"/>
    <w:rsid w:val="00147942"/>
    <w:rsid w:val="00147BF1"/>
    <w:rsid w:val="00160CBF"/>
    <w:rsid w:val="00164CA0"/>
    <w:rsid w:val="0017562B"/>
    <w:rsid w:val="00176408"/>
    <w:rsid w:val="00180884"/>
    <w:rsid w:val="00180C14"/>
    <w:rsid w:val="00180E2F"/>
    <w:rsid w:val="00187777"/>
    <w:rsid w:val="00194657"/>
    <w:rsid w:val="00197AE1"/>
    <w:rsid w:val="001A1E7D"/>
    <w:rsid w:val="001A7934"/>
    <w:rsid w:val="001B70C7"/>
    <w:rsid w:val="001C0B5C"/>
    <w:rsid w:val="001C1878"/>
    <w:rsid w:val="001C32F2"/>
    <w:rsid w:val="001C4F98"/>
    <w:rsid w:val="001D4FEF"/>
    <w:rsid w:val="001F6269"/>
    <w:rsid w:val="00201B38"/>
    <w:rsid w:val="00207C8B"/>
    <w:rsid w:val="00224CEE"/>
    <w:rsid w:val="002344A1"/>
    <w:rsid w:val="0023509E"/>
    <w:rsid w:val="0024012D"/>
    <w:rsid w:val="00243681"/>
    <w:rsid w:val="00261B70"/>
    <w:rsid w:val="00262ACE"/>
    <w:rsid w:val="0026592C"/>
    <w:rsid w:val="00267C73"/>
    <w:rsid w:val="002801CB"/>
    <w:rsid w:val="00283174"/>
    <w:rsid w:val="00284B9A"/>
    <w:rsid w:val="00295EB1"/>
    <w:rsid w:val="002B183D"/>
    <w:rsid w:val="002B1F4A"/>
    <w:rsid w:val="002B2170"/>
    <w:rsid w:val="002B32A7"/>
    <w:rsid w:val="002B3618"/>
    <w:rsid w:val="002B5628"/>
    <w:rsid w:val="002C05A7"/>
    <w:rsid w:val="002C3030"/>
    <w:rsid w:val="002C3817"/>
    <w:rsid w:val="002C553E"/>
    <w:rsid w:val="002D220E"/>
    <w:rsid w:val="002D6008"/>
    <w:rsid w:val="002E6C1C"/>
    <w:rsid w:val="002E7195"/>
    <w:rsid w:val="002E71F4"/>
    <w:rsid w:val="003015C0"/>
    <w:rsid w:val="003024DD"/>
    <w:rsid w:val="00304504"/>
    <w:rsid w:val="00306FE5"/>
    <w:rsid w:val="00307D77"/>
    <w:rsid w:val="00310B1A"/>
    <w:rsid w:val="00311442"/>
    <w:rsid w:val="0033531A"/>
    <w:rsid w:val="00336F28"/>
    <w:rsid w:val="003411DF"/>
    <w:rsid w:val="00341F3B"/>
    <w:rsid w:val="00345333"/>
    <w:rsid w:val="0035210E"/>
    <w:rsid w:val="0036033B"/>
    <w:rsid w:val="00362087"/>
    <w:rsid w:val="00362330"/>
    <w:rsid w:val="00380F42"/>
    <w:rsid w:val="00383069"/>
    <w:rsid w:val="00394265"/>
    <w:rsid w:val="003A01F4"/>
    <w:rsid w:val="003B278F"/>
    <w:rsid w:val="003B2837"/>
    <w:rsid w:val="003B28A6"/>
    <w:rsid w:val="003B5A19"/>
    <w:rsid w:val="003B728E"/>
    <w:rsid w:val="003C4C50"/>
    <w:rsid w:val="003C642B"/>
    <w:rsid w:val="003C6CAD"/>
    <w:rsid w:val="003D1C24"/>
    <w:rsid w:val="003D2ABC"/>
    <w:rsid w:val="003E7508"/>
    <w:rsid w:val="003F19BC"/>
    <w:rsid w:val="003F5DAF"/>
    <w:rsid w:val="003F6674"/>
    <w:rsid w:val="00403BBF"/>
    <w:rsid w:val="004041B3"/>
    <w:rsid w:val="0040530D"/>
    <w:rsid w:val="004071D0"/>
    <w:rsid w:val="00413BE4"/>
    <w:rsid w:val="00415540"/>
    <w:rsid w:val="00422FE9"/>
    <w:rsid w:val="00440906"/>
    <w:rsid w:val="00440D44"/>
    <w:rsid w:val="00441796"/>
    <w:rsid w:val="00446DD9"/>
    <w:rsid w:val="00450F32"/>
    <w:rsid w:val="00450F3D"/>
    <w:rsid w:val="004510F2"/>
    <w:rsid w:val="00452E43"/>
    <w:rsid w:val="004578AE"/>
    <w:rsid w:val="00461C12"/>
    <w:rsid w:val="004636A2"/>
    <w:rsid w:val="004746CE"/>
    <w:rsid w:val="004767A8"/>
    <w:rsid w:val="00480F07"/>
    <w:rsid w:val="00481337"/>
    <w:rsid w:val="00482CDB"/>
    <w:rsid w:val="00486AE7"/>
    <w:rsid w:val="004909DE"/>
    <w:rsid w:val="00497DEA"/>
    <w:rsid w:val="004A6695"/>
    <w:rsid w:val="004A7BCF"/>
    <w:rsid w:val="004B05F5"/>
    <w:rsid w:val="004B2C9A"/>
    <w:rsid w:val="004B37C1"/>
    <w:rsid w:val="004B49F2"/>
    <w:rsid w:val="004B5569"/>
    <w:rsid w:val="004C4C8E"/>
    <w:rsid w:val="004D7C50"/>
    <w:rsid w:val="004E07FF"/>
    <w:rsid w:val="004E5F19"/>
    <w:rsid w:val="004E6DC9"/>
    <w:rsid w:val="004E7DF9"/>
    <w:rsid w:val="00502121"/>
    <w:rsid w:val="005025BE"/>
    <w:rsid w:val="005102CD"/>
    <w:rsid w:val="00514B0B"/>
    <w:rsid w:val="00525C6F"/>
    <w:rsid w:val="00537407"/>
    <w:rsid w:val="0056301A"/>
    <w:rsid w:val="00571A88"/>
    <w:rsid w:val="00580B4B"/>
    <w:rsid w:val="00594AC7"/>
    <w:rsid w:val="005950ED"/>
    <w:rsid w:val="00596E11"/>
    <w:rsid w:val="005A41B0"/>
    <w:rsid w:val="005A548A"/>
    <w:rsid w:val="005A5AA0"/>
    <w:rsid w:val="005B5DB0"/>
    <w:rsid w:val="005B6ADD"/>
    <w:rsid w:val="005C0CD7"/>
    <w:rsid w:val="005C0E46"/>
    <w:rsid w:val="005C72A2"/>
    <w:rsid w:val="005D33B5"/>
    <w:rsid w:val="005D6655"/>
    <w:rsid w:val="005E146D"/>
    <w:rsid w:val="005E3157"/>
    <w:rsid w:val="005E42C2"/>
    <w:rsid w:val="005E737C"/>
    <w:rsid w:val="005E7A9F"/>
    <w:rsid w:val="005F39A0"/>
    <w:rsid w:val="00600662"/>
    <w:rsid w:val="006051BE"/>
    <w:rsid w:val="006136BB"/>
    <w:rsid w:val="0061403C"/>
    <w:rsid w:val="00614A70"/>
    <w:rsid w:val="0061763D"/>
    <w:rsid w:val="0062364D"/>
    <w:rsid w:val="00632690"/>
    <w:rsid w:val="00635347"/>
    <w:rsid w:val="00635765"/>
    <w:rsid w:val="00642840"/>
    <w:rsid w:val="00643D4B"/>
    <w:rsid w:val="00645637"/>
    <w:rsid w:val="00645DAC"/>
    <w:rsid w:val="00647C23"/>
    <w:rsid w:val="0065077B"/>
    <w:rsid w:val="00651E95"/>
    <w:rsid w:val="006526A8"/>
    <w:rsid w:val="00654A67"/>
    <w:rsid w:val="00670988"/>
    <w:rsid w:val="006727A2"/>
    <w:rsid w:val="00683C60"/>
    <w:rsid w:val="00686A00"/>
    <w:rsid w:val="00691162"/>
    <w:rsid w:val="00694CDB"/>
    <w:rsid w:val="00695541"/>
    <w:rsid w:val="006A193F"/>
    <w:rsid w:val="006A3E26"/>
    <w:rsid w:val="006A4DA9"/>
    <w:rsid w:val="006B65EF"/>
    <w:rsid w:val="006B74A6"/>
    <w:rsid w:val="006C6EE5"/>
    <w:rsid w:val="006D0D76"/>
    <w:rsid w:val="006D4F86"/>
    <w:rsid w:val="006D67D5"/>
    <w:rsid w:val="006E55D3"/>
    <w:rsid w:val="006E55EB"/>
    <w:rsid w:val="006F4BF7"/>
    <w:rsid w:val="00700C74"/>
    <w:rsid w:val="00707C33"/>
    <w:rsid w:val="00713260"/>
    <w:rsid w:val="007139DB"/>
    <w:rsid w:val="00715722"/>
    <w:rsid w:val="00720E3B"/>
    <w:rsid w:val="00727606"/>
    <w:rsid w:val="00730F8F"/>
    <w:rsid w:val="00737AE7"/>
    <w:rsid w:val="00753E03"/>
    <w:rsid w:val="00764EBE"/>
    <w:rsid w:val="00765FD1"/>
    <w:rsid w:val="007669C7"/>
    <w:rsid w:val="00767D2A"/>
    <w:rsid w:val="0077095A"/>
    <w:rsid w:val="00772E74"/>
    <w:rsid w:val="00773FB0"/>
    <w:rsid w:val="0078176F"/>
    <w:rsid w:val="00783528"/>
    <w:rsid w:val="00787D15"/>
    <w:rsid w:val="007A0C6D"/>
    <w:rsid w:val="007A2443"/>
    <w:rsid w:val="007A4FA2"/>
    <w:rsid w:val="007B0E84"/>
    <w:rsid w:val="007B1350"/>
    <w:rsid w:val="007B29FA"/>
    <w:rsid w:val="007B735E"/>
    <w:rsid w:val="007C036F"/>
    <w:rsid w:val="007C395A"/>
    <w:rsid w:val="007C43CC"/>
    <w:rsid w:val="007C5712"/>
    <w:rsid w:val="007D2838"/>
    <w:rsid w:val="007D7A75"/>
    <w:rsid w:val="007E129B"/>
    <w:rsid w:val="007E26A4"/>
    <w:rsid w:val="007E7893"/>
    <w:rsid w:val="007F0522"/>
    <w:rsid w:val="007F1BD6"/>
    <w:rsid w:val="00804422"/>
    <w:rsid w:val="00807093"/>
    <w:rsid w:val="00807B01"/>
    <w:rsid w:val="008140EA"/>
    <w:rsid w:val="00814136"/>
    <w:rsid w:val="008210C4"/>
    <w:rsid w:val="0082419E"/>
    <w:rsid w:val="00826BEE"/>
    <w:rsid w:val="00834FF7"/>
    <w:rsid w:val="00835B72"/>
    <w:rsid w:val="00841A60"/>
    <w:rsid w:val="008470B3"/>
    <w:rsid w:val="00851021"/>
    <w:rsid w:val="00853AC5"/>
    <w:rsid w:val="00853BFB"/>
    <w:rsid w:val="00856E6B"/>
    <w:rsid w:val="00857B73"/>
    <w:rsid w:val="0086061E"/>
    <w:rsid w:val="0086118B"/>
    <w:rsid w:val="00861796"/>
    <w:rsid w:val="0086435D"/>
    <w:rsid w:val="00874910"/>
    <w:rsid w:val="008749C5"/>
    <w:rsid w:val="008846E2"/>
    <w:rsid w:val="00885184"/>
    <w:rsid w:val="00885204"/>
    <w:rsid w:val="00887CE9"/>
    <w:rsid w:val="00890C6C"/>
    <w:rsid w:val="00891E71"/>
    <w:rsid w:val="00893757"/>
    <w:rsid w:val="008B5DCA"/>
    <w:rsid w:val="008E2E6A"/>
    <w:rsid w:val="008E65DB"/>
    <w:rsid w:val="008E6757"/>
    <w:rsid w:val="008F075E"/>
    <w:rsid w:val="008F7CDF"/>
    <w:rsid w:val="00910266"/>
    <w:rsid w:val="0091080C"/>
    <w:rsid w:val="00910F82"/>
    <w:rsid w:val="00912704"/>
    <w:rsid w:val="009127EF"/>
    <w:rsid w:val="009151C2"/>
    <w:rsid w:val="00915677"/>
    <w:rsid w:val="00920080"/>
    <w:rsid w:val="0092175D"/>
    <w:rsid w:val="009222BB"/>
    <w:rsid w:val="00923CC6"/>
    <w:rsid w:val="00923E93"/>
    <w:rsid w:val="00925B3B"/>
    <w:rsid w:val="00926686"/>
    <w:rsid w:val="00927EAF"/>
    <w:rsid w:val="0093100D"/>
    <w:rsid w:val="0093153A"/>
    <w:rsid w:val="009360AB"/>
    <w:rsid w:val="00936643"/>
    <w:rsid w:val="0093763B"/>
    <w:rsid w:val="0094238A"/>
    <w:rsid w:val="00942958"/>
    <w:rsid w:val="00945E6F"/>
    <w:rsid w:val="00952AF2"/>
    <w:rsid w:val="00956F60"/>
    <w:rsid w:val="0096056F"/>
    <w:rsid w:val="0096411F"/>
    <w:rsid w:val="00966ACB"/>
    <w:rsid w:val="00970C15"/>
    <w:rsid w:val="00970DEA"/>
    <w:rsid w:val="00981840"/>
    <w:rsid w:val="00981D1B"/>
    <w:rsid w:val="00983A18"/>
    <w:rsid w:val="00986064"/>
    <w:rsid w:val="00990C75"/>
    <w:rsid w:val="009A39F5"/>
    <w:rsid w:val="009A445E"/>
    <w:rsid w:val="009A6192"/>
    <w:rsid w:val="009A63D2"/>
    <w:rsid w:val="009B3945"/>
    <w:rsid w:val="009C582F"/>
    <w:rsid w:val="009C60AA"/>
    <w:rsid w:val="009D18C0"/>
    <w:rsid w:val="009D2A6B"/>
    <w:rsid w:val="009D2DBD"/>
    <w:rsid w:val="009D61DC"/>
    <w:rsid w:val="009D6B91"/>
    <w:rsid w:val="009E0E51"/>
    <w:rsid w:val="009E2C40"/>
    <w:rsid w:val="009E5762"/>
    <w:rsid w:val="009F54E6"/>
    <w:rsid w:val="00A0006C"/>
    <w:rsid w:val="00A010E8"/>
    <w:rsid w:val="00A03CCA"/>
    <w:rsid w:val="00A0642D"/>
    <w:rsid w:val="00A15182"/>
    <w:rsid w:val="00A1599E"/>
    <w:rsid w:val="00A15E0E"/>
    <w:rsid w:val="00A34382"/>
    <w:rsid w:val="00A363A1"/>
    <w:rsid w:val="00A41A1D"/>
    <w:rsid w:val="00A41FFB"/>
    <w:rsid w:val="00A45248"/>
    <w:rsid w:val="00A509DF"/>
    <w:rsid w:val="00A52672"/>
    <w:rsid w:val="00A5315F"/>
    <w:rsid w:val="00A56B4A"/>
    <w:rsid w:val="00A63EB9"/>
    <w:rsid w:val="00A6718A"/>
    <w:rsid w:val="00A74B1A"/>
    <w:rsid w:val="00A75555"/>
    <w:rsid w:val="00A76264"/>
    <w:rsid w:val="00A82450"/>
    <w:rsid w:val="00A93691"/>
    <w:rsid w:val="00A93E66"/>
    <w:rsid w:val="00A96FD3"/>
    <w:rsid w:val="00A97199"/>
    <w:rsid w:val="00AA558C"/>
    <w:rsid w:val="00AB7441"/>
    <w:rsid w:val="00AB7942"/>
    <w:rsid w:val="00AC39B2"/>
    <w:rsid w:val="00AC6215"/>
    <w:rsid w:val="00AD3665"/>
    <w:rsid w:val="00AD6E95"/>
    <w:rsid w:val="00AD7A96"/>
    <w:rsid w:val="00AE0B6C"/>
    <w:rsid w:val="00AE1712"/>
    <w:rsid w:val="00AE1D43"/>
    <w:rsid w:val="00AE4FDB"/>
    <w:rsid w:val="00AF0541"/>
    <w:rsid w:val="00AF3817"/>
    <w:rsid w:val="00AF6B01"/>
    <w:rsid w:val="00B0323A"/>
    <w:rsid w:val="00B067F0"/>
    <w:rsid w:val="00B11914"/>
    <w:rsid w:val="00B12737"/>
    <w:rsid w:val="00B14A03"/>
    <w:rsid w:val="00B151BA"/>
    <w:rsid w:val="00B30EFD"/>
    <w:rsid w:val="00B322E6"/>
    <w:rsid w:val="00B3416C"/>
    <w:rsid w:val="00B35BE9"/>
    <w:rsid w:val="00B416B0"/>
    <w:rsid w:val="00B43E75"/>
    <w:rsid w:val="00B462D4"/>
    <w:rsid w:val="00B52E56"/>
    <w:rsid w:val="00B6095D"/>
    <w:rsid w:val="00B621C8"/>
    <w:rsid w:val="00B627FF"/>
    <w:rsid w:val="00B6517B"/>
    <w:rsid w:val="00B6647C"/>
    <w:rsid w:val="00B71CB4"/>
    <w:rsid w:val="00B770A7"/>
    <w:rsid w:val="00B77B96"/>
    <w:rsid w:val="00B81227"/>
    <w:rsid w:val="00B81F75"/>
    <w:rsid w:val="00B85E47"/>
    <w:rsid w:val="00BA12B0"/>
    <w:rsid w:val="00BB12FA"/>
    <w:rsid w:val="00BB426E"/>
    <w:rsid w:val="00BB4BBB"/>
    <w:rsid w:val="00BB7401"/>
    <w:rsid w:val="00BC332F"/>
    <w:rsid w:val="00BD1287"/>
    <w:rsid w:val="00BD358C"/>
    <w:rsid w:val="00BD4AEB"/>
    <w:rsid w:val="00BD5F22"/>
    <w:rsid w:val="00BE1917"/>
    <w:rsid w:val="00BE4BA6"/>
    <w:rsid w:val="00BE4E11"/>
    <w:rsid w:val="00BE5989"/>
    <w:rsid w:val="00BE75C0"/>
    <w:rsid w:val="00BF04A2"/>
    <w:rsid w:val="00BF702C"/>
    <w:rsid w:val="00C00F2A"/>
    <w:rsid w:val="00C03E7E"/>
    <w:rsid w:val="00C07194"/>
    <w:rsid w:val="00C11998"/>
    <w:rsid w:val="00C15175"/>
    <w:rsid w:val="00C160CF"/>
    <w:rsid w:val="00C2004C"/>
    <w:rsid w:val="00C23A34"/>
    <w:rsid w:val="00C23B77"/>
    <w:rsid w:val="00C30A45"/>
    <w:rsid w:val="00C30EBD"/>
    <w:rsid w:val="00C3165A"/>
    <w:rsid w:val="00C34AE9"/>
    <w:rsid w:val="00C46BB3"/>
    <w:rsid w:val="00C52BFA"/>
    <w:rsid w:val="00C65521"/>
    <w:rsid w:val="00C66898"/>
    <w:rsid w:val="00C70802"/>
    <w:rsid w:val="00C72775"/>
    <w:rsid w:val="00C72F5D"/>
    <w:rsid w:val="00C8012F"/>
    <w:rsid w:val="00C855BD"/>
    <w:rsid w:val="00C87C06"/>
    <w:rsid w:val="00C90E57"/>
    <w:rsid w:val="00C96A69"/>
    <w:rsid w:val="00C97651"/>
    <w:rsid w:val="00CB2757"/>
    <w:rsid w:val="00CB384E"/>
    <w:rsid w:val="00CC058D"/>
    <w:rsid w:val="00CC0AF1"/>
    <w:rsid w:val="00CC10EE"/>
    <w:rsid w:val="00CC51FF"/>
    <w:rsid w:val="00CC622F"/>
    <w:rsid w:val="00CD42FB"/>
    <w:rsid w:val="00CD6872"/>
    <w:rsid w:val="00CF031B"/>
    <w:rsid w:val="00CF0BCF"/>
    <w:rsid w:val="00CF5039"/>
    <w:rsid w:val="00CF7866"/>
    <w:rsid w:val="00D00A29"/>
    <w:rsid w:val="00D03068"/>
    <w:rsid w:val="00D03AEC"/>
    <w:rsid w:val="00D12986"/>
    <w:rsid w:val="00D2152B"/>
    <w:rsid w:val="00D22033"/>
    <w:rsid w:val="00D2340F"/>
    <w:rsid w:val="00D2705E"/>
    <w:rsid w:val="00D34958"/>
    <w:rsid w:val="00D34B03"/>
    <w:rsid w:val="00D400D1"/>
    <w:rsid w:val="00D423C2"/>
    <w:rsid w:val="00D42A06"/>
    <w:rsid w:val="00D44A7F"/>
    <w:rsid w:val="00D54008"/>
    <w:rsid w:val="00D55C90"/>
    <w:rsid w:val="00D604E4"/>
    <w:rsid w:val="00D67C60"/>
    <w:rsid w:val="00D72AAD"/>
    <w:rsid w:val="00D777FE"/>
    <w:rsid w:val="00D778CD"/>
    <w:rsid w:val="00D8347A"/>
    <w:rsid w:val="00D84A86"/>
    <w:rsid w:val="00D90DF2"/>
    <w:rsid w:val="00D92F9E"/>
    <w:rsid w:val="00D931D3"/>
    <w:rsid w:val="00D932D5"/>
    <w:rsid w:val="00D96B69"/>
    <w:rsid w:val="00DA1268"/>
    <w:rsid w:val="00DA1F07"/>
    <w:rsid w:val="00DA2FCD"/>
    <w:rsid w:val="00DA4A72"/>
    <w:rsid w:val="00DC3268"/>
    <w:rsid w:val="00DD3E6A"/>
    <w:rsid w:val="00DD6442"/>
    <w:rsid w:val="00DD71B8"/>
    <w:rsid w:val="00DE48FD"/>
    <w:rsid w:val="00DE7F03"/>
    <w:rsid w:val="00DF15D8"/>
    <w:rsid w:val="00DF4CF9"/>
    <w:rsid w:val="00DF701D"/>
    <w:rsid w:val="00E013AC"/>
    <w:rsid w:val="00E03AEA"/>
    <w:rsid w:val="00E16A14"/>
    <w:rsid w:val="00E17677"/>
    <w:rsid w:val="00E20A38"/>
    <w:rsid w:val="00E20BC0"/>
    <w:rsid w:val="00E24547"/>
    <w:rsid w:val="00E25714"/>
    <w:rsid w:val="00E278B1"/>
    <w:rsid w:val="00E366FE"/>
    <w:rsid w:val="00E44A42"/>
    <w:rsid w:val="00E46381"/>
    <w:rsid w:val="00E46417"/>
    <w:rsid w:val="00E51999"/>
    <w:rsid w:val="00E52A0C"/>
    <w:rsid w:val="00E5718A"/>
    <w:rsid w:val="00E65F4C"/>
    <w:rsid w:val="00E67862"/>
    <w:rsid w:val="00E735C6"/>
    <w:rsid w:val="00E73868"/>
    <w:rsid w:val="00E73B77"/>
    <w:rsid w:val="00E73BE2"/>
    <w:rsid w:val="00E74B72"/>
    <w:rsid w:val="00E816CF"/>
    <w:rsid w:val="00E86847"/>
    <w:rsid w:val="00EB05AD"/>
    <w:rsid w:val="00EB2DA1"/>
    <w:rsid w:val="00EB6F0F"/>
    <w:rsid w:val="00EC5230"/>
    <w:rsid w:val="00EC534D"/>
    <w:rsid w:val="00EC7BBB"/>
    <w:rsid w:val="00ED34F7"/>
    <w:rsid w:val="00ED763E"/>
    <w:rsid w:val="00EF2C4F"/>
    <w:rsid w:val="00EF607D"/>
    <w:rsid w:val="00F00728"/>
    <w:rsid w:val="00F01926"/>
    <w:rsid w:val="00F021ED"/>
    <w:rsid w:val="00F0576A"/>
    <w:rsid w:val="00F06820"/>
    <w:rsid w:val="00F10C25"/>
    <w:rsid w:val="00F122ED"/>
    <w:rsid w:val="00F14082"/>
    <w:rsid w:val="00F27C8F"/>
    <w:rsid w:val="00F410A6"/>
    <w:rsid w:val="00F456E9"/>
    <w:rsid w:val="00F46F3C"/>
    <w:rsid w:val="00F52A09"/>
    <w:rsid w:val="00F56048"/>
    <w:rsid w:val="00F5662F"/>
    <w:rsid w:val="00F60264"/>
    <w:rsid w:val="00F6150C"/>
    <w:rsid w:val="00F62FBC"/>
    <w:rsid w:val="00F639FE"/>
    <w:rsid w:val="00F746D7"/>
    <w:rsid w:val="00F76D30"/>
    <w:rsid w:val="00F81733"/>
    <w:rsid w:val="00F817B9"/>
    <w:rsid w:val="00F81873"/>
    <w:rsid w:val="00F819F5"/>
    <w:rsid w:val="00F82EE4"/>
    <w:rsid w:val="00F91ECB"/>
    <w:rsid w:val="00F950FD"/>
    <w:rsid w:val="00F96600"/>
    <w:rsid w:val="00FA6CB7"/>
    <w:rsid w:val="00FC0619"/>
    <w:rsid w:val="00FC13B0"/>
    <w:rsid w:val="00FC4D27"/>
    <w:rsid w:val="00FD0D29"/>
    <w:rsid w:val="00FD30FB"/>
    <w:rsid w:val="00FD39C0"/>
    <w:rsid w:val="00FD77E4"/>
    <w:rsid w:val="00FE7EA7"/>
    <w:rsid w:val="00FF2B4D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  <w:style w:type="paragraph" w:styleId="Sinespaciado">
    <w:name w:val="No Spacing"/>
    <w:uiPriority w:val="1"/>
    <w:qFormat/>
    <w:rsid w:val="00D12986"/>
    <w:rPr>
      <w:sz w:val="22"/>
      <w:szCs w:val="22"/>
      <w:lang w:val="es-ES"/>
    </w:rPr>
  </w:style>
  <w:style w:type="character" w:styleId="Mencinsinresolver">
    <w:name w:val="Unresolved Mention"/>
    <w:basedOn w:val="Fuentedeprrafopredeter"/>
    <w:uiPriority w:val="99"/>
    <w:rsid w:val="005E4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svalt.es/sala-de-prens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svalt.es/informes/informe-precio-de-la-vivienda-1t-2022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gomez@gesval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81568CB2A4644A7DEBC09171563E8" ma:contentTypeVersion="13" ma:contentTypeDescription="Create a new document." ma:contentTypeScope="" ma:versionID="870327301a7a47c3289c8fd61026863a">
  <xsd:schema xmlns:xsd="http://www.w3.org/2001/XMLSchema" xmlns:xs="http://www.w3.org/2001/XMLSchema" xmlns:p="http://schemas.microsoft.com/office/2006/metadata/properties" xmlns:ns2="2b6cbe70-0c33-48c9-8214-7f84aa4386b5" xmlns:ns3="012217d6-fa2d-4252-bcd9-57041eb1a1c4" targetNamespace="http://schemas.microsoft.com/office/2006/metadata/properties" ma:root="true" ma:fieldsID="9b2b13baf0c09aa03019e7c3b848e38d" ns2:_="" ns3:_="">
    <xsd:import namespace="2b6cbe70-0c33-48c9-8214-7f84aa4386b5"/>
    <xsd:import namespace="012217d6-fa2d-4252-bcd9-57041eb1a1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cbe70-0c33-48c9-8214-7f84aa43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17d6-fa2d-4252-bcd9-57041eb1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07465-4EF5-443B-ACB2-CEC04DA21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D1943-6109-42CC-8498-DE0A4EEF3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cbe70-0c33-48c9-8214-7f84aa4386b5"/>
    <ds:schemaRef ds:uri="012217d6-fa2d-4252-bcd9-57041eb1a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EA3F0-A757-443E-A720-FD9DB5F3F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E2D867-C3E6-B244-B4A8-E77F0BC4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1066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Marina Díez Guisasola</cp:lastModifiedBy>
  <cp:revision>9</cp:revision>
  <cp:lastPrinted>2021-03-30T11:24:00Z</cp:lastPrinted>
  <dcterms:created xsi:type="dcterms:W3CDTF">2022-03-25T14:53:00Z</dcterms:created>
  <dcterms:modified xsi:type="dcterms:W3CDTF">2022-04-04T08:13:00Z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0x010100D8E81568CB2A4644A7DEBC09171563E8</vt:lpwstr>
  </property>
  <property fmtid="{D5CDD505-2E9C-101B-9397-08002B2CF9AE}" pid="3" name="Order">
    <vt:r8>45897000</vt:r8>
  </property>
</Properties>
</file>