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6FBA2" w14:textId="3451709B" w:rsidR="008C66C1" w:rsidRPr="004175CA" w:rsidRDefault="008C66C1" w:rsidP="008C66C1">
      <w:pPr>
        <w:widowControl w:val="0"/>
        <w:autoSpaceDE w:val="0"/>
        <w:autoSpaceDN w:val="0"/>
        <w:adjustRightInd w:val="0"/>
        <w:spacing w:after="240" w:line="560" w:lineRule="atLeast"/>
        <w:jc w:val="center"/>
        <w:rPr>
          <w:rFonts w:ascii="Visby" w:hAnsi="Visby" w:cs="Times"/>
          <w:u w:val="single"/>
        </w:rPr>
      </w:pPr>
      <w:r w:rsidRPr="004175CA">
        <w:rPr>
          <w:rFonts w:ascii="Visby" w:hAnsi="Visby" w:cs="Times"/>
          <w:u w:val="single"/>
        </w:rPr>
        <w:t xml:space="preserve">Informe de Vivienda </w:t>
      </w:r>
      <w:proofErr w:type="spellStart"/>
      <w:r w:rsidRPr="004175CA">
        <w:rPr>
          <w:rFonts w:ascii="Visby" w:hAnsi="Visby" w:cs="Times"/>
          <w:u w:val="single"/>
        </w:rPr>
        <w:t>Gesvalt</w:t>
      </w:r>
      <w:proofErr w:type="spellEnd"/>
      <w:r w:rsidRPr="004175CA">
        <w:rPr>
          <w:rFonts w:ascii="Visby" w:hAnsi="Visby" w:cs="Times"/>
          <w:u w:val="single"/>
        </w:rPr>
        <w:t xml:space="preserve"> </w:t>
      </w:r>
      <w:r w:rsidR="00211CFD">
        <w:rPr>
          <w:rFonts w:ascii="Visby" w:hAnsi="Visby" w:cs="Times"/>
          <w:u w:val="single"/>
        </w:rPr>
        <w:t>primer</w:t>
      </w:r>
      <w:r w:rsidRPr="004175CA">
        <w:rPr>
          <w:rFonts w:ascii="Visby" w:hAnsi="Visby" w:cs="Times"/>
          <w:u w:val="single"/>
        </w:rPr>
        <w:t xml:space="preserve"> trimestre 202</w:t>
      </w:r>
      <w:r w:rsidR="00211CFD">
        <w:rPr>
          <w:rFonts w:ascii="Visby" w:hAnsi="Visby" w:cs="Times"/>
          <w:u w:val="single"/>
        </w:rPr>
        <w:t>6</w:t>
      </w:r>
    </w:p>
    <w:p w14:paraId="72F81212" w14:textId="600BDAD6" w:rsidR="005D79F6" w:rsidRPr="00892593" w:rsidRDefault="00763899" w:rsidP="00162774">
      <w:pPr>
        <w:jc w:val="center"/>
        <w:rPr>
          <w:rFonts w:ascii="Visby" w:hAnsi="Visby"/>
          <w:b/>
          <w:bCs/>
          <w:sz w:val="28"/>
          <w:szCs w:val="28"/>
        </w:rPr>
      </w:pPr>
      <w:r>
        <w:rPr>
          <w:rFonts w:ascii="Visby" w:hAnsi="Visby"/>
          <w:b/>
          <w:bCs/>
          <w:sz w:val="28"/>
          <w:szCs w:val="28"/>
        </w:rPr>
        <w:t xml:space="preserve">El precio de la vivienda </w:t>
      </w:r>
      <w:r w:rsidR="00207C9E">
        <w:rPr>
          <w:rFonts w:ascii="Visby" w:hAnsi="Visby"/>
          <w:b/>
          <w:bCs/>
          <w:sz w:val="28"/>
          <w:szCs w:val="28"/>
        </w:rPr>
        <w:t>supera</w:t>
      </w:r>
      <w:r w:rsidR="005E3554">
        <w:rPr>
          <w:rFonts w:ascii="Visby" w:hAnsi="Visby"/>
          <w:b/>
          <w:bCs/>
          <w:sz w:val="28"/>
          <w:szCs w:val="28"/>
        </w:rPr>
        <w:t xml:space="preserve"> </w:t>
      </w:r>
      <w:r w:rsidR="005D79F6">
        <w:rPr>
          <w:rFonts w:ascii="Visby" w:hAnsi="Visby"/>
          <w:b/>
          <w:bCs/>
          <w:sz w:val="28"/>
          <w:szCs w:val="28"/>
        </w:rPr>
        <w:t xml:space="preserve">los </w:t>
      </w:r>
      <w:r w:rsidR="00892593">
        <w:rPr>
          <w:rFonts w:ascii="Visby" w:hAnsi="Visby"/>
          <w:b/>
          <w:bCs/>
          <w:sz w:val="28"/>
          <w:szCs w:val="28"/>
        </w:rPr>
        <w:t>2.000 €/m</w:t>
      </w:r>
      <w:r w:rsidR="00892593" w:rsidRPr="00FC686D">
        <w:rPr>
          <w:rFonts w:ascii="Visby" w:hAnsi="Visby"/>
          <w:b/>
          <w:bCs/>
          <w:sz w:val="28"/>
          <w:szCs w:val="28"/>
          <w:vertAlign w:val="superscript"/>
        </w:rPr>
        <w:t>2</w:t>
      </w:r>
      <w:r>
        <w:rPr>
          <w:rFonts w:ascii="Visby" w:hAnsi="Visby"/>
          <w:b/>
          <w:bCs/>
          <w:sz w:val="28"/>
          <w:szCs w:val="28"/>
        </w:rPr>
        <w:t xml:space="preserve"> </w:t>
      </w:r>
      <w:r w:rsidR="00C54EF5">
        <w:rPr>
          <w:rFonts w:ascii="Visby" w:hAnsi="Visby"/>
          <w:b/>
          <w:bCs/>
          <w:sz w:val="28"/>
          <w:szCs w:val="28"/>
        </w:rPr>
        <w:t>y se acerca a máximos históricos</w:t>
      </w:r>
    </w:p>
    <w:p w14:paraId="5CA51B97" w14:textId="58A38696" w:rsidR="008563CF" w:rsidRPr="008563CF" w:rsidRDefault="008563CF" w:rsidP="004175CA">
      <w:pPr>
        <w:pStyle w:val="Prrafodelista"/>
        <w:numPr>
          <w:ilvl w:val="0"/>
          <w:numId w:val="5"/>
        </w:numPr>
        <w:rPr>
          <w:rFonts w:ascii="Visby" w:hAnsi="Visby"/>
        </w:rPr>
      </w:pPr>
      <w:r w:rsidRPr="008563CF">
        <w:rPr>
          <w:rFonts w:ascii="Visby" w:hAnsi="Visby"/>
        </w:rPr>
        <w:t>El encarecimiento de la vivienda se intensifica en el primer trimestre de 2026 con un incremento interanual del 16,4%</w:t>
      </w:r>
      <w:r>
        <w:rPr>
          <w:rFonts w:ascii="Visby" w:hAnsi="Visby"/>
        </w:rPr>
        <w:t>,</w:t>
      </w:r>
      <w:r w:rsidRPr="008563CF">
        <w:rPr>
          <w:rFonts w:ascii="Visby" w:hAnsi="Visby"/>
        </w:rPr>
        <w:t xml:space="preserve"> lo que supone 2</w:t>
      </w:r>
      <w:r w:rsidR="00FC3D8A">
        <w:rPr>
          <w:rFonts w:ascii="Visby" w:hAnsi="Visby"/>
        </w:rPr>
        <w:t>5.560</w:t>
      </w:r>
      <w:r w:rsidRPr="008563CF">
        <w:rPr>
          <w:rFonts w:ascii="Visby" w:hAnsi="Visby"/>
        </w:rPr>
        <w:t xml:space="preserve"> euros adicionales al comprar una casa de 90</w:t>
      </w:r>
      <w:r w:rsidRPr="008563CF">
        <w:rPr>
          <w:rFonts w:ascii="Visby" w:hAnsi="Visby"/>
          <w:b/>
          <w:bCs/>
        </w:rPr>
        <w:t xml:space="preserve"> </w:t>
      </w:r>
      <w:r w:rsidRPr="008563CF">
        <w:rPr>
          <w:rFonts w:ascii="Visby" w:hAnsi="Visby"/>
        </w:rPr>
        <w:t>m² en solo un año.</w:t>
      </w:r>
    </w:p>
    <w:p w14:paraId="6C043BE1" w14:textId="465F9A09" w:rsidR="00EC4D65" w:rsidRPr="00FC686D" w:rsidRDefault="000C1953" w:rsidP="004175CA">
      <w:pPr>
        <w:pStyle w:val="Prrafodelista"/>
        <w:numPr>
          <w:ilvl w:val="0"/>
          <w:numId w:val="5"/>
        </w:numPr>
        <w:rPr>
          <w:rFonts w:ascii="Visby" w:hAnsi="Visby"/>
          <w:b/>
          <w:bCs/>
        </w:rPr>
      </w:pPr>
      <w:r>
        <w:rPr>
          <w:rFonts w:ascii="Visby" w:hAnsi="Visby"/>
        </w:rPr>
        <w:t xml:space="preserve">El </w:t>
      </w:r>
      <w:r w:rsidR="005F65C7">
        <w:rPr>
          <w:rFonts w:ascii="Visby" w:hAnsi="Visby"/>
        </w:rPr>
        <w:t>aumento</w:t>
      </w:r>
      <w:r w:rsidR="00F53512">
        <w:rPr>
          <w:rFonts w:ascii="Visby" w:hAnsi="Visby"/>
        </w:rPr>
        <w:t xml:space="preserve"> de precios se </w:t>
      </w:r>
      <w:r w:rsidR="004A7C2F" w:rsidRPr="004A7C2F">
        <w:rPr>
          <w:rFonts w:ascii="Visby" w:hAnsi="Visby"/>
        </w:rPr>
        <w:t>extiende de forma generalizada</w:t>
      </w:r>
      <w:r w:rsidR="00F53512">
        <w:rPr>
          <w:rFonts w:ascii="Visby" w:hAnsi="Visby"/>
        </w:rPr>
        <w:t xml:space="preserve">, </w:t>
      </w:r>
      <w:r w:rsidR="00003CB2">
        <w:rPr>
          <w:rFonts w:ascii="Visby" w:hAnsi="Visby"/>
        </w:rPr>
        <w:t>aunque las</w:t>
      </w:r>
      <w:r w:rsidR="00F53512">
        <w:rPr>
          <w:rFonts w:ascii="Visby" w:hAnsi="Visby"/>
        </w:rPr>
        <w:t xml:space="preserve"> </w:t>
      </w:r>
      <w:r w:rsidR="00F54D83">
        <w:rPr>
          <w:rFonts w:ascii="Visby" w:hAnsi="Visby"/>
        </w:rPr>
        <w:t>mayores subidas</w:t>
      </w:r>
      <w:r w:rsidR="003833B1" w:rsidRPr="00534348">
        <w:rPr>
          <w:rFonts w:ascii="Visby" w:hAnsi="Visby"/>
        </w:rPr>
        <w:t xml:space="preserve"> </w:t>
      </w:r>
      <w:r w:rsidR="00EC4D65" w:rsidRPr="00534348">
        <w:rPr>
          <w:rFonts w:ascii="Visby" w:hAnsi="Visby"/>
        </w:rPr>
        <w:t>se concentran en la Región de Murcia</w:t>
      </w:r>
      <w:r w:rsidR="00C70CDF" w:rsidRPr="00534348">
        <w:rPr>
          <w:rFonts w:ascii="Visby" w:hAnsi="Visby"/>
        </w:rPr>
        <w:t xml:space="preserve">, </w:t>
      </w:r>
      <w:r w:rsidR="00EC4D65" w:rsidRPr="00534348">
        <w:rPr>
          <w:rFonts w:ascii="Visby" w:hAnsi="Visby"/>
        </w:rPr>
        <w:t>la Comunidad de Madrid</w:t>
      </w:r>
      <w:r w:rsidR="0019668D">
        <w:rPr>
          <w:rFonts w:ascii="Visby" w:hAnsi="Visby"/>
        </w:rPr>
        <w:t xml:space="preserve"> y</w:t>
      </w:r>
      <w:r w:rsidR="00EC4D65" w:rsidRPr="00534348">
        <w:rPr>
          <w:rFonts w:ascii="Visby" w:hAnsi="Visby"/>
        </w:rPr>
        <w:t xml:space="preserve"> </w:t>
      </w:r>
      <w:r w:rsidR="0019668D">
        <w:rPr>
          <w:rFonts w:ascii="Visby" w:hAnsi="Visby"/>
        </w:rPr>
        <w:t xml:space="preserve">Asturias, seguidas de </w:t>
      </w:r>
      <w:r w:rsidR="00EC4D65" w:rsidRPr="00534348">
        <w:rPr>
          <w:rFonts w:ascii="Visby" w:hAnsi="Visby"/>
        </w:rPr>
        <w:t>Cantabria</w:t>
      </w:r>
      <w:r w:rsidR="0019668D">
        <w:rPr>
          <w:rFonts w:ascii="Visby" w:hAnsi="Visby"/>
        </w:rPr>
        <w:t xml:space="preserve"> y Andalucía.</w:t>
      </w:r>
    </w:p>
    <w:p w14:paraId="325D2F73" w14:textId="05BA777D" w:rsidR="00C92E6B" w:rsidRDefault="00C92E6B" w:rsidP="004175CA">
      <w:pPr>
        <w:pStyle w:val="Prrafodelista"/>
        <w:numPr>
          <w:ilvl w:val="0"/>
          <w:numId w:val="5"/>
        </w:numPr>
        <w:rPr>
          <w:rFonts w:ascii="Visby" w:hAnsi="Visby"/>
        </w:rPr>
      </w:pPr>
      <w:r w:rsidRPr="00ED3B97">
        <w:rPr>
          <w:rFonts w:ascii="Visby" w:hAnsi="Visby"/>
        </w:rPr>
        <w:t>El alquiler intensifica su crecimiento en regiones del interior</w:t>
      </w:r>
      <w:r w:rsidR="00ED3B97" w:rsidRPr="00ED3B97">
        <w:rPr>
          <w:rFonts w:ascii="Visby" w:hAnsi="Visby"/>
        </w:rPr>
        <w:t xml:space="preserve"> como</w:t>
      </w:r>
      <w:r w:rsidRPr="00ED3B97">
        <w:rPr>
          <w:rFonts w:ascii="Visby" w:hAnsi="Visby"/>
        </w:rPr>
        <w:t xml:space="preserve"> </w:t>
      </w:r>
      <w:r w:rsidRPr="00FC686D">
        <w:rPr>
          <w:rFonts w:ascii="Visby" w:hAnsi="Visby"/>
        </w:rPr>
        <w:t>Segovia</w:t>
      </w:r>
      <w:r w:rsidR="00ED3B97" w:rsidRPr="00FC686D">
        <w:rPr>
          <w:rFonts w:ascii="Visby" w:hAnsi="Visby"/>
        </w:rPr>
        <w:t>,</w:t>
      </w:r>
      <w:r w:rsidRPr="00FC686D">
        <w:rPr>
          <w:rFonts w:ascii="Visby" w:hAnsi="Visby"/>
        </w:rPr>
        <w:t xml:space="preserve"> Toledo</w:t>
      </w:r>
      <w:r w:rsidR="00ED3B97" w:rsidRPr="00FC686D">
        <w:rPr>
          <w:rFonts w:ascii="Visby" w:hAnsi="Visby"/>
        </w:rPr>
        <w:t xml:space="preserve">, </w:t>
      </w:r>
      <w:r w:rsidRPr="00FC686D">
        <w:rPr>
          <w:rFonts w:ascii="Visby" w:hAnsi="Visby"/>
        </w:rPr>
        <w:t>y Ciudad Real</w:t>
      </w:r>
      <w:r w:rsidR="00ED3B97" w:rsidRPr="00FC686D">
        <w:rPr>
          <w:rFonts w:ascii="Visby" w:hAnsi="Visby"/>
        </w:rPr>
        <w:t>.</w:t>
      </w:r>
    </w:p>
    <w:p w14:paraId="7E6BFDB0" w14:textId="066B118D" w:rsidR="00003CB2" w:rsidRPr="00FC686D" w:rsidRDefault="00707319" w:rsidP="004175CA">
      <w:pPr>
        <w:pStyle w:val="Prrafodelista"/>
        <w:numPr>
          <w:ilvl w:val="0"/>
          <w:numId w:val="5"/>
        </w:numPr>
        <w:rPr>
          <w:rFonts w:ascii="Visby" w:hAnsi="Visby"/>
        </w:rPr>
      </w:pPr>
      <w:r w:rsidRPr="00707319">
        <w:rPr>
          <w:rFonts w:ascii="Visby" w:hAnsi="Visby"/>
        </w:rPr>
        <w:t>Los certificados finales de obra descienden, lo que puede provocar una mayor tensión en el mercado ante la falta de vivienda disponible.</w:t>
      </w:r>
    </w:p>
    <w:p w14:paraId="230DE4D5" w14:textId="39BB3C64" w:rsidR="000F1E00" w:rsidRDefault="00162774" w:rsidP="009504C8">
      <w:pPr>
        <w:jc w:val="both"/>
        <w:rPr>
          <w:rFonts w:ascii="Visby" w:hAnsi="Visby"/>
        </w:rPr>
      </w:pPr>
      <w:r w:rsidRPr="004175CA">
        <w:rPr>
          <w:rFonts w:ascii="Visby" w:hAnsi="Visby"/>
          <w:b/>
          <w:bCs/>
        </w:rPr>
        <w:t xml:space="preserve">Madrid, </w:t>
      </w:r>
      <w:r w:rsidR="000E2B11">
        <w:rPr>
          <w:rFonts w:ascii="Visby" w:hAnsi="Visby"/>
          <w:b/>
          <w:bCs/>
        </w:rPr>
        <w:t>30</w:t>
      </w:r>
      <w:r w:rsidRPr="004175CA">
        <w:rPr>
          <w:rFonts w:ascii="Visby" w:hAnsi="Visby"/>
          <w:b/>
          <w:bCs/>
        </w:rPr>
        <w:t xml:space="preserve"> de </w:t>
      </w:r>
      <w:r w:rsidR="0019668D">
        <w:rPr>
          <w:rFonts w:ascii="Visby" w:hAnsi="Visby"/>
          <w:b/>
          <w:bCs/>
        </w:rPr>
        <w:t>marzo</w:t>
      </w:r>
      <w:r w:rsidRPr="004175CA">
        <w:rPr>
          <w:rFonts w:ascii="Visby" w:hAnsi="Visby"/>
          <w:b/>
          <w:bCs/>
        </w:rPr>
        <w:t xml:space="preserve"> de 202</w:t>
      </w:r>
      <w:r w:rsidR="0005368A">
        <w:rPr>
          <w:rFonts w:ascii="Visby" w:hAnsi="Visby"/>
          <w:b/>
          <w:bCs/>
        </w:rPr>
        <w:t>6</w:t>
      </w:r>
      <w:r w:rsidRPr="004175CA">
        <w:rPr>
          <w:rFonts w:ascii="Visby" w:hAnsi="Visby"/>
        </w:rPr>
        <w:t xml:space="preserve"> </w:t>
      </w:r>
      <w:r w:rsidR="001B19C1">
        <w:rPr>
          <w:rFonts w:ascii="Visby" w:hAnsi="Visby"/>
        </w:rPr>
        <w:t>–</w:t>
      </w:r>
      <w:r w:rsidRPr="004175CA">
        <w:rPr>
          <w:rFonts w:ascii="Visby" w:hAnsi="Visby"/>
        </w:rPr>
        <w:t xml:space="preserve"> </w:t>
      </w:r>
      <w:proofErr w:type="spellStart"/>
      <w:r w:rsidR="001B19C1">
        <w:rPr>
          <w:rFonts w:ascii="Visby" w:hAnsi="Visby"/>
        </w:rPr>
        <w:t>Gesvalt</w:t>
      </w:r>
      <w:proofErr w:type="spellEnd"/>
      <w:r w:rsidR="001B19C1">
        <w:rPr>
          <w:rFonts w:ascii="Visby" w:hAnsi="Visby"/>
        </w:rPr>
        <w:t xml:space="preserve"> Tasaciones</w:t>
      </w:r>
      <w:r w:rsidR="00A641BE">
        <w:rPr>
          <w:rFonts w:ascii="Visby" w:hAnsi="Visby"/>
        </w:rPr>
        <w:t xml:space="preserve"> </w:t>
      </w:r>
      <w:r w:rsidRPr="004175CA">
        <w:rPr>
          <w:rFonts w:ascii="Visby" w:hAnsi="Visby"/>
        </w:rPr>
        <w:t xml:space="preserve">ha publicado su Informe de Vivienda correspondiente al </w:t>
      </w:r>
      <w:r w:rsidR="0019668D">
        <w:rPr>
          <w:rFonts w:ascii="Visby" w:hAnsi="Visby"/>
        </w:rPr>
        <w:t>primer</w:t>
      </w:r>
      <w:r w:rsidR="00C420A9" w:rsidRPr="004175CA">
        <w:rPr>
          <w:rFonts w:ascii="Visby" w:hAnsi="Visby"/>
        </w:rPr>
        <w:t xml:space="preserve"> </w:t>
      </w:r>
      <w:r w:rsidRPr="004175CA">
        <w:rPr>
          <w:rFonts w:ascii="Visby" w:hAnsi="Visby"/>
        </w:rPr>
        <w:t xml:space="preserve">trimestre del año. Según el estudio, elaborado a partir de datos propios por el departamento de </w:t>
      </w:r>
      <w:proofErr w:type="spellStart"/>
      <w:r w:rsidRPr="004175CA">
        <w:rPr>
          <w:rFonts w:ascii="Visby" w:hAnsi="Visby"/>
        </w:rPr>
        <w:t>Research</w:t>
      </w:r>
      <w:proofErr w:type="spellEnd"/>
      <w:r w:rsidRPr="004175CA">
        <w:rPr>
          <w:rFonts w:ascii="Visby" w:hAnsi="Visby"/>
        </w:rPr>
        <w:t xml:space="preserve"> </w:t>
      </w:r>
      <w:r w:rsidR="000F1E00">
        <w:rPr>
          <w:rFonts w:ascii="Visby" w:hAnsi="Visby"/>
        </w:rPr>
        <w:t>de la firma</w:t>
      </w:r>
      <w:r w:rsidR="001552E4">
        <w:rPr>
          <w:rFonts w:ascii="Visby" w:hAnsi="Visby"/>
        </w:rPr>
        <w:t>,</w:t>
      </w:r>
      <w:r w:rsidR="000F1E00" w:rsidRPr="000F1E00">
        <w:rPr>
          <w:rFonts w:ascii="Visby" w:hAnsi="Visby"/>
          <w:b/>
          <w:bCs/>
        </w:rPr>
        <w:t xml:space="preserve"> </w:t>
      </w:r>
      <w:r w:rsidR="000F1E00" w:rsidRPr="00FC686D">
        <w:rPr>
          <w:rFonts w:ascii="Visby" w:hAnsi="Visby"/>
        </w:rPr>
        <w:t>202</w:t>
      </w:r>
      <w:r w:rsidR="0019668D" w:rsidRPr="00FC686D">
        <w:rPr>
          <w:rFonts w:ascii="Visby" w:hAnsi="Visby"/>
        </w:rPr>
        <w:t xml:space="preserve">6 comienza </w:t>
      </w:r>
      <w:r w:rsidR="003C4C89">
        <w:rPr>
          <w:rFonts w:ascii="Visby" w:hAnsi="Visby"/>
        </w:rPr>
        <w:t>revalidando</w:t>
      </w:r>
      <w:r w:rsidR="003C4C89" w:rsidRPr="00FC686D">
        <w:rPr>
          <w:rFonts w:ascii="Visby" w:hAnsi="Visby"/>
        </w:rPr>
        <w:t xml:space="preserve"> </w:t>
      </w:r>
      <w:r w:rsidR="0019668D" w:rsidRPr="00FC686D">
        <w:rPr>
          <w:rFonts w:ascii="Visby" w:hAnsi="Visby"/>
        </w:rPr>
        <w:t>la aceleración del encarecimiento de la vivienda y el impacto en buena parte del territorio.</w:t>
      </w:r>
      <w:r w:rsidR="0019668D">
        <w:rPr>
          <w:rFonts w:ascii="Visby" w:hAnsi="Visby"/>
          <w:b/>
          <w:bCs/>
        </w:rPr>
        <w:t xml:space="preserve"> </w:t>
      </w:r>
      <w:r w:rsidR="000F1E00" w:rsidRPr="000F1E00">
        <w:rPr>
          <w:rFonts w:ascii="Visby" w:hAnsi="Visby"/>
        </w:rPr>
        <w:t xml:space="preserve">Al cierre del </w:t>
      </w:r>
      <w:r w:rsidR="0019668D">
        <w:rPr>
          <w:rFonts w:ascii="Visby" w:hAnsi="Visby"/>
        </w:rPr>
        <w:t>primer</w:t>
      </w:r>
      <w:r w:rsidR="000F1E00" w:rsidRPr="000F1E00">
        <w:rPr>
          <w:rFonts w:ascii="Visby" w:hAnsi="Visby"/>
        </w:rPr>
        <w:t xml:space="preserve"> trimestre, </w:t>
      </w:r>
      <w:r w:rsidR="000F1E00" w:rsidRPr="00FC686D">
        <w:rPr>
          <w:rFonts w:ascii="Visby" w:hAnsi="Visby"/>
          <w:b/>
          <w:bCs/>
        </w:rPr>
        <w:t xml:space="preserve">el </w:t>
      </w:r>
      <w:r w:rsidR="000F1E00" w:rsidRPr="000F1E00">
        <w:rPr>
          <w:rFonts w:ascii="Visby" w:hAnsi="Visby"/>
          <w:b/>
          <w:bCs/>
        </w:rPr>
        <w:t xml:space="preserve">precio medio de venta se sitúa en </w:t>
      </w:r>
      <w:r w:rsidR="0019668D">
        <w:rPr>
          <w:rFonts w:ascii="Visby" w:hAnsi="Visby"/>
          <w:b/>
          <w:bCs/>
        </w:rPr>
        <w:t>2.012</w:t>
      </w:r>
      <w:r w:rsidR="000F1E00" w:rsidRPr="000F1E00">
        <w:rPr>
          <w:rFonts w:ascii="Visby" w:hAnsi="Visby"/>
          <w:b/>
          <w:bCs/>
        </w:rPr>
        <w:t xml:space="preserve"> €/m²</w:t>
      </w:r>
      <w:r w:rsidR="000F1E00" w:rsidRPr="000F1E00">
        <w:rPr>
          <w:rFonts w:ascii="Visby" w:hAnsi="Visby"/>
        </w:rPr>
        <w:t xml:space="preserve">, lo que supone un </w:t>
      </w:r>
      <w:r w:rsidR="000F1E00" w:rsidRPr="000F1E00">
        <w:rPr>
          <w:rFonts w:ascii="Visby" w:hAnsi="Visby"/>
          <w:b/>
          <w:bCs/>
        </w:rPr>
        <w:t>incremento interanual del 1</w:t>
      </w:r>
      <w:r w:rsidR="0019668D">
        <w:rPr>
          <w:rFonts w:ascii="Visby" w:hAnsi="Visby"/>
          <w:b/>
          <w:bCs/>
        </w:rPr>
        <w:t>6</w:t>
      </w:r>
      <w:r w:rsidR="000F1E00" w:rsidRPr="000F1E00">
        <w:rPr>
          <w:rFonts w:ascii="Visby" w:hAnsi="Visby"/>
          <w:b/>
          <w:bCs/>
        </w:rPr>
        <w:t>,4</w:t>
      </w:r>
      <w:r w:rsidR="0019668D">
        <w:rPr>
          <w:rFonts w:ascii="Visby" w:hAnsi="Visby"/>
          <w:b/>
          <w:bCs/>
        </w:rPr>
        <w:t xml:space="preserve"> </w:t>
      </w:r>
      <w:r w:rsidR="000F1E00" w:rsidRPr="000F1E00">
        <w:rPr>
          <w:rFonts w:ascii="Visby" w:hAnsi="Visby"/>
          <w:b/>
          <w:bCs/>
        </w:rPr>
        <w:t>%</w:t>
      </w:r>
      <w:r w:rsidR="000F1E00" w:rsidRPr="000F1E00">
        <w:rPr>
          <w:rFonts w:ascii="Visby" w:hAnsi="Visby"/>
        </w:rPr>
        <w:t xml:space="preserve"> y una </w:t>
      </w:r>
      <w:r w:rsidR="000F1E00" w:rsidRPr="000F1E00">
        <w:rPr>
          <w:rFonts w:ascii="Visby" w:hAnsi="Visby"/>
          <w:b/>
          <w:bCs/>
        </w:rPr>
        <w:t xml:space="preserve">subida del </w:t>
      </w:r>
      <w:r w:rsidR="0019668D">
        <w:rPr>
          <w:rFonts w:ascii="Visby" w:hAnsi="Visby"/>
          <w:b/>
          <w:bCs/>
        </w:rPr>
        <w:t xml:space="preserve">2,5 </w:t>
      </w:r>
      <w:r w:rsidR="000F1E00" w:rsidRPr="000F1E00">
        <w:rPr>
          <w:rFonts w:ascii="Visby" w:hAnsi="Visby"/>
          <w:b/>
          <w:bCs/>
        </w:rPr>
        <w:t>% respecto al trimestre anterior</w:t>
      </w:r>
      <w:r w:rsidR="00383D74">
        <w:rPr>
          <w:rFonts w:ascii="Visby" w:hAnsi="Visby"/>
        </w:rPr>
        <w:t>.</w:t>
      </w:r>
    </w:p>
    <w:p w14:paraId="74BFCB47" w14:textId="146F1E82" w:rsidR="00C70CDF" w:rsidRDefault="00F54D83" w:rsidP="009504C8">
      <w:pPr>
        <w:jc w:val="both"/>
        <w:rPr>
          <w:rFonts w:ascii="Visby" w:hAnsi="Visby"/>
          <w:b/>
          <w:bCs/>
        </w:rPr>
      </w:pPr>
      <w:r>
        <w:rPr>
          <w:rFonts w:ascii="Visby" w:hAnsi="Visby"/>
        </w:rPr>
        <w:t>En este contexto</w:t>
      </w:r>
      <w:r w:rsidR="0019668D">
        <w:rPr>
          <w:rFonts w:ascii="Visby" w:hAnsi="Visby"/>
        </w:rPr>
        <w:t xml:space="preserve">, </w:t>
      </w:r>
      <w:r w:rsidR="00C70CDF" w:rsidRPr="00162774">
        <w:rPr>
          <w:rFonts w:ascii="Visby" w:hAnsi="Visby"/>
          <w:b/>
          <w:bCs/>
        </w:rPr>
        <w:t xml:space="preserve">adquirir una vivienda </w:t>
      </w:r>
      <w:r w:rsidR="0019668D">
        <w:rPr>
          <w:rFonts w:ascii="Visby" w:hAnsi="Visby"/>
          <w:b/>
          <w:bCs/>
        </w:rPr>
        <w:t>estándar</w:t>
      </w:r>
      <w:r w:rsidR="00C70CDF" w:rsidRPr="00162774">
        <w:rPr>
          <w:rFonts w:ascii="Visby" w:hAnsi="Visby"/>
          <w:b/>
          <w:bCs/>
        </w:rPr>
        <w:t xml:space="preserve"> de 90 metros cuadrados requiere </w:t>
      </w:r>
      <w:r w:rsidR="00397985">
        <w:rPr>
          <w:rFonts w:ascii="Visby" w:hAnsi="Visby"/>
          <w:b/>
          <w:bCs/>
        </w:rPr>
        <w:t xml:space="preserve">de </w:t>
      </w:r>
      <w:r w:rsidR="00C70CDF" w:rsidRPr="00162774">
        <w:rPr>
          <w:rFonts w:ascii="Visby" w:hAnsi="Visby"/>
          <w:b/>
          <w:bCs/>
        </w:rPr>
        <w:t>una inversión media de 1</w:t>
      </w:r>
      <w:r w:rsidR="00F35EDD">
        <w:rPr>
          <w:rFonts w:ascii="Visby" w:hAnsi="Visby"/>
          <w:b/>
          <w:bCs/>
        </w:rPr>
        <w:t xml:space="preserve">81.080 </w:t>
      </w:r>
      <w:r w:rsidR="00C70CDF" w:rsidRPr="00162774">
        <w:rPr>
          <w:rFonts w:ascii="Visby" w:hAnsi="Visby"/>
          <w:b/>
          <w:bCs/>
        </w:rPr>
        <w:t>euros</w:t>
      </w:r>
      <w:r w:rsidR="00C70CDF" w:rsidRPr="00162774">
        <w:rPr>
          <w:rFonts w:ascii="Visby" w:hAnsi="Visby"/>
        </w:rPr>
        <w:t xml:space="preserve">, frente a los </w:t>
      </w:r>
      <w:r w:rsidR="00C70CDF" w:rsidRPr="00162774">
        <w:rPr>
          <w:rFonts w:ascii="Visby" w:hAnsi="Visby"/>
          <w:b/>
          <w:bCs/>
        </w:rPr>
        <w:t>15</w:t>
      </w:r>
      <w:r w:rsidR="00F35EDD">
        <w:rPr>
          <w:rFonts w:ascii="Visby" w:hAnsi="Visby"/>
          <w:b/>
          <w:bCs/>
        </w:rPr>
        <w:t>5.520</w:t>
      </w:r>
      <w:r w:rsidR="00C70CDF" w:rsidRPr="00162774">
        <w:rPr>
          <w:rFonts w:ascii="Visby" w:hAnsi="Visby"/>
          <w:b/>
          <w:bCs/>
        </w:rPr>
        <w:t xml:space="preserve"> euros</w:t>
      </w:r>
      <w:r w:rsidR="00C70CDF" w:rsidRPr="00162774">
        <w:rPr>
          <w:rFonts w:ascii="Visby" w:hAnsi="Visby"/>
        </w:rPr>
        <w:t xml:space="preserve"> </w:t>
      </w:r>
      <w:r w:rsidR="00F35EDD">
        <w:rPr>
          <w:rFonts w:ascii="Visby" w:hAnsi="Visby"/>
        </w:rPr>
        <w:t>estimados</w:t>
      </w:r>
      <w:r w:rsidR="00C70CDF" w:rsidRPr="00162774">
        <w:rPr>
          <w:rFonts w:ascii="Visby" w:hAnsi="Visby"/>
        </w:rPr>
        <w:t xml:space="preserve"> para una vivienda </w:t>
      </w:r>
      <w:r w:rsidR="00F35EDD">
        <w:rPr>
          <w:rFonts w:ascii="Visby" w:hAnsi="Visby"/>
        </w:rPr>
        <w:t xml:space="preserve">de características similares </w:t>
      </w:r>
      <w:r w:rsidR="00C70CDF" w:rsidRPr="00162774">
        <w:rPr>
          <w:rFonts w:ascii="Visby" w:hAnsi="Visby"/>
        </w:rPr>
        <w:t>en el mismo periodo de 202</w:t>
      </w:r>
      <w:r w:rsidR="009A62C6">
        <w:rPr>
          <w:rFonts w:ascii="Visby" w:hAnsi="Visby"/>
        </w:rPr>
        <w:t>5</w:t>
      </w:r>
      <w:r w:rsidR="00C70CDF" w:rsidRPr="00162774">
        <w:rPr>
          <w:rFonts w:ascii="Visby" w:hAnsi="Visby"/>
        </w:rPr>
        <w:t>. E</w:t>
      </w:r>
      <w:r w:rsidR="0019668D">
        <w:rPr>
          <w:rFonts w:ascii="Visby" w:hAnsi="Visby"/>
        </w:rPr>
        <w:t xml:space="preserve">sto </w:t>
      </w:r>
      <w:r w:rsidR="00C70CDF" w:rsidRPr="00162774">
        <w:rPr>
          <w:rFonts w:ascii="Visby" w:hAnsi="Visby"/>
        </w:rPr>
        <w:t xml:space="preserve">supone que </w:t>
      </w:r>
      <w:r w:rsidR="00C70CDF" w:rsidRPr="00162774">
        <w:rPr>
          <w:rFonts w:ascii="Visby" w:hAnsi="Visby"/>
          <w:b/>
          <w:bCs/>
        </w:rPr>
        <w:t xml:space="preserve">comprar </w:t>
      </w:r>
      <w:r w:rsidR="00466721">
        <w:rPr>
          <w:rFonts w:ascii="Visby" w:hAnsi="Visby"/>
          <w:b/>
          <w:bCs/>
        </w:rPr>
        <w:t xml:space="preserve">una </w:t>
      </w:r>
      <w:r w:rsidR="00C70CDF" w:rsidRPr="00162774">
        <w:rPr>
          <w:rFonts w:ascii="Visby" w:hAnsi="Visby"/>
          <w:b/>
          <w:bCs/>
        </w:rPr>
        <w:t xml:space="preserve">casa cuesta hoy </w:t>
      </w:r>
      <w:r w:rsidR="00C70CDF" w:rsidRPr="00F60D6E">
        <w:rPr>
          <w:rFonts w:ascii="Visby" w:hAnsi="Visby"/>
          <w:b/>
          <w:bCs/>
        </w:rPr>
        <w:t>2</w:t>
      </w:r>
      <w:r w:rsidR="0078549D" w:rsidRPr="00F60D6E">
        <w:rPr>
          <w:rFonts w:ascii="Visby" w:hAnsi="Visby"/>
          <w:b/>
          <w:bCs/>
        </w:rPr>
        <w:t>5.560</w:t>
      </w:r>
      <w:r w:rsidR="00C70CDF" w:rsidRPr="00162774">
        <w:rPr>
          <w:rFonts w:ascii="Visby" w:hAnsi="Visby"/>
          <w:b/>
          <w:bCs/>
        </w:rPr>
        <w:t xml:space="preserve"> euros </w:t>
      </w:r>
      <w:r w:rsidR="0019668D">
        <w:rPr>
          <w:rFonts w:ascii="Visby" w:hAnsi="Visby"/>
          <w:b/>
          <w:bCs/>
        </w:rPr>
        <w:t>más</w:t>
      </w:r>
      <w:r w:rsidR="00C70CDF" w:rsidRPr="00162774">
        <w:rPr>
          <w:rFonts w:ascii="Visby" w:hAnsi="Visby"/>
          <w:b/>
          <w:bCs/>
        </w:rPr>
        <w:t xml:space="preserve"> </w:t>
      </w:r>
      <w:r w:rsidR="00C90823">
        <w:rPr>
          <w:rFonts w:ascii="Visby" w:hAnsi="Visby"/>
          <w:b/>
          <w:bCs/>
        </w:rPr>
        <w:t>en solo</w:t>
      </w:r>
      <w:r w:rsidR="0019668D">
        <w:rPr>
          <w:rFonts w:ascii="Visby" w:hAnsi="Visby"/>
          <w:b/>
          <w:bCs/>
        </w:rPr>
        <w:t xml:space="preserve"> un año.</w:t>
      </w:r>
    </w:p>
    <w:p w14:paraId="28131781" w14:textId="42C1BC86" w:rsidR="00162774" w:rsidRPr="00FC686D" w:rsidRDefault="0065628D" w:rsidP="00FC686D">
      <w:pPr>
        <w:pStyle w:val="Sinespaciado"/>
        <w:jc w:val="both"/>
        <w:rPr>
          <w:rFonts w:ascii="Visby" w:hAnsi="Visby"/>
          <w:kern w:val="2"/>
          <w14:ligatures w14:val="standardContextual"/>
        </w:rPr>
      </w:pPr>
      <w:r>
        <w:rPr>
          <w:rFonts w:ascii="Visby" w:hAnsi="Visby"/>
        </w:rPr>
        <w:t xml:space="preserve">El estudio muestra que el </w:t>
      </w:r>
      <w:r w:rsidR="000F572D">
        <w:rPr>
          <w:rFonts w:ascii="Visby" w:hAnsi="Visby"/>
        </w:rPr>
        <w:t>aumento</w:t>
      </w:r>
      <w:r>
        <w:rPr>
          <w:rFonts w:ascii="Visby" w:hAnsi="Visby"/>
        </w:rPr>
        <w:t xml:space="preserve"> en el precio de la vivienda se intensifica en este primer trimestre del año, </w:t>
      </w:r>
      <w:r w:rsidRPr="00FD1FBF">
        <w:rPr>
          <w:rFonts w:ascii="Visby" w:hAnsi="Visby"/>
        </w:rPr>
        <w:t xml:space="preserve">situando al mercado en </w:t>
      </w:r>
      <w:r w:rsidRPr="00FC686D">
        <w:rPr>
          <w:rFonts w:ascii="Visby" w:hAnsi="Visby"/>
          <w:b/>
          <w:bCs/>
        </w:rPr>
        <w:t>niveles cada vez más próximos a los máximos del ciclo previo</w:t>
      </w:r>
      <w:r w:rsidR="00273418">
        <w:rPr>
          <w:rFonts w:ascii="Visby" w:hAnsi="Visby"/>
        </w:rPr>
        <w:t xml:space="preserve">. No obstante, </w:t>
      </w:r>
      <w:r w:rsidRPr="00FD1FBF">
        <w:rPr>
          <w:rFonts w:ascii="Visby" w:hAnsi="Visby"/>
        </w:rPr>
        <w:t>el valor medio nacional todavía se mantiene un 15 % por debajo del pico alcanzado en 2007</w:t>
      </w:r>
      <w:r w:rsidR="00C33BD3">
        <w:rPr>
          <w:rFonts w:ascii="Visby" w:hAnsi="Visby"/>
        </w:rPr>
        <w:t>.</w:t>
      </w:r>
      <w:r w:rsidR="000556B8">
        <w:rPr>
          <w:rFonts w:ascii="Visby" w:hAnsi="Visby"/>
        </w:rPr>
        <w:t xml:space="preserve"> </w:t>
      </w:r>
      <w:r w:rsidR="00F240FE" w:rsidRPr="00FC686D">
        <w:rPr>
          <w:rFonts w:ascii="Visby" w:hAnsi="Visby"/>
          <w:kern w:val="2"/>
          <w14:ligatures w14:val="standardContextual"/>
        </w:rPr>
        <w:t xml:space="preserve">También </w:t>
      </w:r>
      <w:r w:rsidR="00E72CC6">
        <w:rPr>
          <w:rFonts w:ascii="Visby" w:hAnsi="Visby"/>
          <w:b/>
          <w:bCs/>
          <w:kern w:val="2"/>
          <w14:ligatures w14:val="standardContextual"/>
        </w:rPr>
        <w:t xml:space="preserve">mantiene </w:t>
      </w:r>
      <w:r w:rsidR="00F240FE" w:rsidRPr="00FC686D">
        <w:rPr>
          <w:rFonts w:ascii="Visby" w:hAnsi="Visby"/>
          <w:b/>
          <w:bCs/>
          <w:kern w:val="2"/>
          <w14:ligatures w14:val="standardContextual"/>
        </w:rPr>
        <w:t>la trayectoria ascendente experimentada en 2025</w:t>
      </w:r>
      <w:r w:rsidR="009504C8" w:rsidRPr="00FC686D">
        <w:rPr>
          <w:rFonts w:ascii="Visby" w:hAnsi="Visby"/>
          <w:kern w:val="2"/>
          <w14:ligatures w14:val="standardContextual"/>
        </w:rPr>
        <w:t xml:space="preserve">, que </w:t>
      </w:r>
      <w:r w:rsidR="00196337" w:rsidRPr="00B17A5F">
        <w:rPr>
          <w:rFonts w:ascii="Visby" w:hAnsi="Visby"/>
          <w:kern w:val="2"/>
          <w14:ligatures w14:val="standardContextual"/>
        </w:rPr>
        <w:t xml:space="preserve">en el primer trimestre </w:t>
      </w:r>
      <w:r w:rsidR="00196337">
        <w:rPr>
          <w:rFonts w:ascii="Visby" w:hAnsi="Visby"/>
          <w:kern w:val="2"/>
          <w14:ligatures w14:val="standardContextual"/>
        </w:rPr>
        <w:t>registró un</w:t>
      </w:r>
      <w:r w:rsidR="00F10477">
        <w:rPr>
          <w:rFonts w:ascii="Visby" w:hAnsi="Visby"/>
          <w:kern w:val="2"/>
          <w14:ligatures w14:val="standardContextual"/>
        </w:rPr>
        <w:t xml:space="preserve"> aumento en el precio del</w:t>
      </w:r>
      <w:r w:rsidR="00162774" w:rsidRPr="00FC686D">
        <w:rPr>
          <w:rFonts w:ascii="Visby" w:hAnsi="Visby"/>
          <w:kern w:val="2"/>
          <w14:ligatures w14:val="standardContextual"/>
        </w:rPr>
        <w:t xml:space="preserve"> 10,3</w:t>
      </w:r>
      <w:r w:rsidR="009504C8" w:rsidRPr="00FC686D">
        <w:rPr>
          <w:rFonts w:ascii="Visby" w:hAnsi="Visby"/>
          <w:kern w:val="2"/>
          <w14:ligatures w14:val="standardContextual"/>
        </w:rPr>
        <w:t xml:space="preserve"> </w:t>
      </w:r>
      <w:r w:rsidR="00162774" w:rsidRPr="00FC686D">
        <w:rPr>
          <w:rFonts w:ascii="Visby" w:hAnsi="Visby"/>
          <w:kern w:val="2"/>
          <w14:ligatures w14:val="standardContextual"/>
        </w:rPr>
        <w:t>% y culmin</w:t>
      </w:r>
      <w:r w:rsidR="009504C8" w:rsidRPr="00FC686D">
        <w:rPr>
          <w:rFonts w:ascii="Visby" w:hAnsi="Visby"/>
          <w:kern w:val="2"/>
          <w14:ligatures w14:val="standardContextual"/>
        </w:rPr>
        <w:t>ó</w:t>
      </w:r>
      <w:r w:rsidR="00162774" w:rsidRPr="00FC686D">
        <w:rPr>
          <w:rFonts w:ascii="Visby" w:hAnsi="Visby"/>
          <w:kern w:val="2"/>
          <w14:ligatures w14:val="standardContextual"/>
        </w:rPr>
        <w:t xml:space="preserve"> el año con una subida superior al 15</w:t>
      </w:r>
      <w:r w:rsidR="009504C8" w:rsidRPr="00FC686D">
        <w:rPr>
          <w:rFonts w:ascii="Visby" w:hAnsi="Visby"/>
          <w:kern w:val="2"/>
          <w14:ligatures w14:val="standardContextual"/>
        </w:rPr>
        <w:t xml:space="preserve"> </w:t>
      </w:r>
      <w:r w:rsidR="00162774" w:rsidRPr="00FC686D">
        <w:rPr>
          <w:rFonts w:ascii="Visby" w:hAnsi="Visby"/>
          <w:kern w:val="2"/>
          <w14:ligatures w14:val="standardContextual"/>
        </w:rPr>
        <w:t>%</w:t>
      </w:r>
      <w:r w:rsidR="009504C8" w:rsidRPr="00FC686D">
        <w:rPr>
          <w:rFonts w:ascii="Visby" w:hAnsi="Visby"/>
          <w:kern w:val="2"/>
          <w14:ligatures w14:val="standardContextual"/>
        </w:rPr>
        <w:t>.</w:t>
      </w:r>
    </w:p>
    <w:p w14:paraId="7B637D5F" w14:textId="77777777" w:rsidR="009504C8" w:rsidRPr="00F35EDD" w:rsidRDefault="009504C8" w:rsidP="00FC686D">
      <w:pPr>
        <w:pStyle w:val="Sinespaciado"/>
        <w:jc w:val="both"/>
        <w:rPr>
          <w:rFonts w:ascii="Visby" w:hAnsi="Visby"/>
          <w:color w:val="FFC000"/>
        </w:rPr>
      </w:pPr>
    </w:p>
    <w:p w14:paraId="6A1985D7" w14:textId="4F499477" w:rsidR="00994A1D" w:rsidRDefault="005F3B4D" w:rsidP="009504C8">
      <w:pPr>
        <w:jc w:val="both"/>
        <w:rPr>
          <w:rFonts w:ascii="Visby" w:hAnsi="Visby"/>
        </w:rPr>
      </w:pPr>
      <w:r w:rsidRPr="005F3B4D">
        <w:rPr>
          <w:rFonts w:ascii="Visby" w:hAnsi="Visby"/>
        </w:rPr>
        <w:t xml:space="preserve">Este dinamismo del mercado se apoya en </w:t>
      </w:r>
      <w:r w:rsidR="00D14B18">
        <w:rPr>
          <w:rFonts w:ascii="Visby" w:hAnsi="Visby"/>
        </w:rPr>
        <w:t xml:space="preserve">crecimientos sostenidos en las compraventas y en la </w:t>
      </w:r>
      <w:r w:rsidR="0068138A">
        <w:rPr>
          <w:rFonts w:ascii="Visby" w:hAnsi="Visby"/>
        </w:rPr>
        <w:t xml:space="preserve">concesión de hipotecas, </w:t>
      </w:r>
      <w:r w:rsidR="00A7467B">
        <w:rPr>
          <w:rFonts w:ascii="Visby" w:hAnsi="Visby"/>
        </w:rPr>
        <w:t xml:space="preserve">reflejando </w:t>
      </w:r>
      <w:r w:rsidR="00FF5FE9">
        <w:rPr>
          <w:rFonts w:ascii="Visby" w:hAnsi="Visby"/>
        </w:rPr>
        <w:t xml:space="preserve">un mayor avance del crédito. </w:t>
      </w:r>
      <w:r w:rsidRPr="005F3B4D">
        <w:rPr>
          <w:rFonts w:ascii="Visby" w:hAnsi="Visby"/>
        </w:rPr>
        <w:t xml:space="preserve">A ello se suma el impulso de la actividad promotora: </w:t>
      </w:r>
      <w:r w:rsidRPr="00FC686D">
        <w:rPr>
          <w:rFonts w:ascii="Visby" w:hAnsi="Visby"/>
          <w:b/>
          <w:bCs/>
        </w:rPr>
        <w:t>los visados de dirección de obra alcanza</w:t>
      </w:r>
      <w:r w:rsidR="00213E72" w:rsidRPr="00FC686D">
        <w:rPr>
          <w:rFonts w:ascii="Visby" w:hAnsi="Visby"/>
          <w:b/>
          <w:bCs/>
        </w:rPr>
        <w:t>ro</w:t>
      </w:r>
      <w:r w:rsidRPr="00FC686D">
        <w:rPr>
          <w:rFonts w:ascii="Visby" w:hAnsi="Visby"/>
          <w:b/>
          <w:bCs/>
        </w:rPr>
        <w:t>n las 139.016 unidades</w:t>
      </w:r>
      <w:r w:rsidR="00FE77E2" w:rsidRPr="00FC686D">
        <w:rPr>
          <w:rFonts w:ascii="Visby" w:hAnsi="Visby"/>
          <w:b/>
          <w:bCs/>
        </w:rPr>
        <w:t xml:space="preserve">, un </w:t>
      </w:r>
      <w:r w:rsidRPr="00FC686D">
        <w:rPr>
          <w:rFonts w:ascii="Visby" w:hAnsi="Visby"/>
          <w:b/>
          <w:bCs/>
        </w:rPr>
        <w:t>8,8 %</w:t>
      </w:r>
      <w:r w:rsidR="00FE77E2" w:rsidRPr="00FC686D">
        <w:rPr>
          <w:rFonts w:ascii="Visby" w:hAnsi="Visby"/>
          <w:b/>
          <w:bCs/>
        </w:rPr>
        <w:t xml:space="preserve"> </w:t>
      </w:r>
      <w:r w:rsidR="00322380" w:rsidRPr="00FC686D">
        <w:rPr>
          <w:rFonts w:ascii="Visby" w:hAnsi="Visby"/>
          <w:b/>
          <w:bCs/>
        </w:rPr>
        <w:t>más que hace un año</w:t>
      </w:r>
      <w:r w:rsidR="00E839A9">
        <w:rPr>
          <w:rFonts w:ascii="Visby" w:hAnsi="Visby"/>
        </w:rPr>
        <w:t xml:space="preserve">, </w:t>
      </w:r>
      <w:r w:rsidR="00C41232">
        <w:rPr>
          <w:rFonts w:ascii="Visby" w:hAnsi="Visby"/>
        </w:rPr>
        <w:t>lo que sitúa</w:t>
      </w:r>
      <w:r w:rsidR="00E839A9">
        <w:rPr>
          <w:rFonts w:ascii="Visby" w:hAnsi="Visby"/>
        </w:rPr>
        <w:t xml:space="preserve"> a</w:t>
      </w:r>
      <w:r w:rsidRPr="005F3B4D">
        <w:rPr>
          <w:rFonts w:ascii="Visby" w:hAnsi="Visby"/>
        </w:rPr>
        <w:t xml:space="preserve"> </w:t>
      </w:r>
      <w:r w:rsidR="00526EBD" w:rsidRPr="00FC686D">
        <w:rPr>
          <w:rFonts w:ascii="Visby" w:hAnsi="Visby"/>
        </w:rPr>
        <w:t xml:space="preserve">Andalucía </w:t>
      </w:r>
      <w:r w:rsidR="00E839A9">
        <w:rPr>
          <w:rFonts w:ascii="Visby" w:hAnsi="Visby"/>
        </w:rPr>
        <w:t>como la región con</w:t>
      </w:r>
      <w:r w:rsidR="00526EBD" w:rsidRPr="00FC686D">
        <w:rPr>
          <w:rFonts w:ascii="Visby" w:hAnsi="Visby"/>
        </w:rPr>
        <w:t xml:space="preserve"> el mayor volumen de visados en 2025, con el 24,0 % del total</w:t>
      </w:r>
      <w:r w:rsidR="00E839A9">
        <w:rPr>
          <w:rFonts w:ascii="Visby" w:hAnsi="Visby"/>
        </w:rPr>
        <w:t>.</w:t>
      </w:r>
      <w:r w:rsidR="00CA13F6">
        <w:rPr>
          <w:rFonts w:ascii="Visby" w:hAnsi="Visby"/>
        </w:rPr>
        <w:t xml:space="preserve"> </w:t>
      </w:r>
      <w:r w:rsidRPr="005F3B4D">
        <w:rPr>
          <w:rFonts w:ascii="Visby" w:hAnsi="Visby"/>
        </w:rPr>
        <w:t xml:space="preserve">Sin embargo, este </w:t>
      </w:r>
      <w:r w:rsidR="00401B2E">
        <w:rPr>
          <w:rFonts w:ascii="Visby" w:hAnsi="Visby"/>
        </w:rPr>
        <w:t>impulso</w:t>
      </w:r>
      <w:r w:rsidRPr="005F3B4D">
        <w:rPr>
          <w:rFonts w:ascii="Visby" w:hAnsi="Visby"/>
        </w:rPr>
        <w:t xml:space="preserve"> no se traduce aún en un aumento equivalente de la oferta disponible, ya que los </w:t>
      </w:r>
      <w:r w:rsidRPr="00FC686D">
        <w:rPr>
          <w:rFonts w:ascii="Visby" w:hAnsi="Visby"/>
          <w:b/>
          <w:bCs/>
        </w:rPr>
        <w:t>certificados finales de obra descienden un 9,8 %, hasta 88.254 viviendas</w:t>
      </w:r>
      <w:r w:rsidRPr="005F3B4D">
        <w:rPr>
          <w:rFonts w:ascii="Visby" w:hAnsi="Visby"/>
        </w:rPr>
        <w:t xml:space="preserve">, evidenciando el desfase persistente </w:t>
      </w:r>
      <w:r w:rsidR="00C13B09">
        <w:rPr>
          <w:rFonts w:ascii="Visby" w:hAnsi="Visby"/>
        </w:rPr>
        <w:t xml:space="preserve">desde hace varios trimestres </w:t>
      </w:r>
      <w:r w:rsidRPr="005F3B4D">
        <w:rPr>
          <w:rFonts w:ascii="Visby" w:hAnsi="Visby"/>
        </w:rPr>
        <w:t>entre el inicio de nuevas promociones y su incorporación al mercado.</w:t>
      </w:r>
      <w:r w:rsidR="00D60F0A" w:rsidRPr="00D60F0A">
        <w:rPr>
          <w:rFonts w:ascii="Inter" w:hAnsi="Inter"/>
          <w:color w:val="424242"/>
          <w:shd w:val="clear" w:color="auto" w:fill="FFFFFF"/>
        </w:rPr>
        <w:t xml:space="preserve"> </w:t>
      </w:r>
      <w:r w:rsidR="001F10F5">
        <w:rPr>
          <w:rFonts w:ascii="Visby" w:hAnsi="Visby"/>
        </w:rPr>
        <w:t>Esta situación</w:t>
      </w:r>
      <w:r w:rsidR="00D60F0A" w:rsidRPr="00D60F0A">
        <w:rPr>
          <w:rFonts w:ascii="Visby" w:hAnsi="Visby"/>
        </w:rPr>
        <w:t xml:space="preserve"> anticipa que, si no se produce una mayor finalización de obra ni nuevas construcciones, el mercado se tensionará aún más por la falta de oferta disponible.</w:t>
      </w:r>
    </w:p>
    <w:p w14:paraId="6780583C" w14:textId="2D1B5C0E" w:rsidR="00EC4D65" w:rsidRPr="009F1C64" w:rsidRDefault="009F1C64" w:rsidP="00C70CDF">
      <w:pPr>
        <w:jc w:val="both"/>
        <w:rPr>
          <w:rFonts w:ascii="Visby" w:hAnsi="Visby"/>
          <w:b/>
          <w:bCs/>
        </w:rPr>
      </w:pPr>
      <w:r w:rsidRPr="00FC686D">
        <w:rPr>
          <w:rFonts w:ascii="Visby" w:hAnsi="Visby"/>
          <w:b/>
          <w:bCs/>
        </w:rPr>
        <w:t>La subida de precios se generaliza en todas las Comunidades</w:t>
      </w:r>
    </w:p>
    <w:p w14:paraId="41C5D33C" w14:textId="532C10CF" w:rsidR="00EC4D65" w:rsidRPr="00EC4D65" w:rsidRDefault="00EC4D65" w:rsidP="00C70CDF">
      <w:pPr>
        <w:jc w:val="both"/>
        <w:rPr>
          <w:rFonts w:ascii="Visby" w:hAnsi="Visby"/>
        </w:rPr>
      </w:pPr>
      <w:r w:rsidRPr="00EC4D65">
        <w:rPr>
          <w:rFonts w:ascii="Visby" w:hAnsi="Visby"/>
        </w:rPr>
        <w:lastRenderedPageBreak/>
        <w:t xml:space="preserve">Durante el </w:t>
      </w:r>
      <w:r w:rsidR="00E47D0F">
        <w:rPr>
          <w:rFonts w:ascii="Visby" w:hAnsi="Visby"/>
        </w:rPr>
        <w:t>primer</w:t>
      </w:r>
      <w:r w:rsidR="00E47D0F" w:rsidRPr="00EC4D65">
        <w:rPr>
          <w:rFonts w:ascii="Visby" w:hAnsi="Visby"/>
        </w:rPr>
        <w:t xml:space="preserve"> </w:t>
      </w:r>
      <w:r w:rsidRPr="00EC4D65">
        <w:rPr>
          <w:rFonts w:ascii="Visby" w:hAnsi="Visby"/>
        </w:rPr>
        <w:t>trimestre de 202</w:t>
      </w:r>
      <w:r w:rsidR="00E47D0F">
        <w:rPr>
          <w:rFonts w:ascii="Visby" w:hAnsi="Visby"/>
        </w:rPr>
        <w:t>6</w:t>
      </w:r>
      <w:r w:rsidRPr="00EC4D65">
        <w:rPr>
          <w:rFonts w:ascii="Visby" w:hAnsi="Visby"/>
        </w:rPr>
        <w:t xml:space="preserve">, </w:t>
      </w:r>
      <w:r w:rsidRPr="00EC4D65">
        <w:rPr>
          <w:rFonts w:ascii="Visby" w:hAnsi="Visby"/>
          <w:b/>
          <w:bCs/>
        </w:rPr>
        <w:t xml:space="preserve">todas las Comunidades Autónomas </w:t>
      </w:r>
      <w:r w:rsidR="00F813A8">
        <w:rPr>
          <w:rFonts w:ascii="Visby" w:hAnsi="Visby"/>
          <w:b/>
          <w:bCs/>
        </w:rPr>
        <w:t xml:space="preserve">vuelven a </w:t>
      </w:r>
      <w:r w:rsidRPr="00EC4D65">
        <w:rPr>
          <w:rFonts w:ascii="Visby" w:hAnsi="Visby"/>
          <w:b/>
          <w:bCs/>
        </w:rPr>
        <w:t>registra</w:t>
      </w:r>
      <w:r w:rsidR="00F813A8">
        <w:rPr>
          <w:rFonts w:ascii="Visby" w:hAnsi="Visby"/>
          <w:b/>
          <w:bCs/>
        </w:rPr>
        <w:t>r</w:t>
      </w:r>
      <w:r w:rsidRPr="00EC4D65">
        <w:rPr>
          <w:rFonts w:ascii="Visby" w:hAnsi="Visby"/>
          <w:b/>
          <w:bCs/>
        </w:rPr>
        <w:t xml:space="preserve"> incrementos interanuales en el precio medio de venta</w:t>
      </w:r>
      <w:r w:rsidRPr="00EC4D65">
        <w:rPr>
          <w:rFonts w:ascii="Visby" w:hAnsi="Visby"/>
        </w:rPr>
        <w:t xml:space="preserve">, </w:t>
      </w:r>
      <w:r w:rsidR="002146AF">
        <w:rPr>
          <w:rFonts w:ascii="Visby" w:hAnsi="Visby"/>
        </w:rPr>
        <w:t>confirmando la extensión</w:t>
      </w:r>
      <w:r w:rsidR="008B7ADA" w:rsidRPr="00FC686D">
        <w:rPr>
          <w:rFonts w:ascii="Visby" w:hAnsi="Visby"/>
        </w:rPr>
        <w:t xml:space="preserve"> del ciclo alcista</w:t>
      </w:r>
      <w:r w:rsidR="009A62C6">
        <w:rPr>
          <w:rFonts w:ascii="Visby" w:hAnsi="Visby"/>
        </w:rPr>
        <w:t xml:space="preserve"> a todo el territorio</w:t>
      </w:r>
      <w:r w:rsidR="008B7ADA">
        <w:rPr>
          <w:rFonts w:ascii="Visby" w:hAnsi="Visby"/>
        </w:rPr>
        <w:t>.</w:t>
      </w:r>
    </w:p>
    <w:p w14:paraId="3EF63521" w14:textId="4DFBB698" w:rsidR="00FC3FEF" w:rsidRPr="00FC686D" w:rsidRDefault="00EC4D65" w:rsidP="00FC686D">
      <w:pPr>
        <w:pStyle w:val="Sinespaciado"/>
        <w:jc w:val="both"/>
        <w:rPr>
          <w:rFonts w:ascii="Visby" w:hAnsi="Visby"/>
          <w:kern w:val="2"/>
          <w14:ligatures w14:val="standardContextual"/>
        </w:rPr>
      </w:pPr>
      <w:r w:rsidRPr="00EC4D65">
        <w:rPr>
          <w:rFonts w:ascii="Visby" w:hAnsi="Visby"/>
        </w:rPr>
        <w:t xml:space="preserve">Las mayores subidas se </w:t>
      </w:r>
      <w:r w:rsidRPr="00FC686D">
        <w:rPr>
          <w:rFonts w:ascii="Visby" w:hAnsi="Visby"/>
          <w:kern w:val="2"/>
          <w14:ligatures w14:val="standardContextual"/>
        </w:rPr>
        <w:t xml:space="preserve">concentran en la </w:t>
      </w:r>
      <w:r w:rsidR="00935597" w:rsidRPr="00FC686D">
        <w:rPr>
          <w:rFonts w:ascii="Visby" w:hAnsi="Visby"/>
          <w:b/>
          <w:bCs/>
          <w:kern w:val="2"/>
          <w14:ligatures w14:val="standardContextual"/>
        </w:rPr>
        <w:t>Región de Murcia (+19,0 %), la Comunidad de Madrid (+16,4 %) y Asturias (+15,9 %)</w:t>
      </w:r>
      <w:r w:rsidR="00935597" w:rsidRPr="00FC686D">
        <w:rPr>
          <w:rFonts w:ascii="Visby" w:hAnsi="Visby"/>
          <w:kern w:val="2"/>
          <w14:ligatures w14:val="standardContextual"/>
        </w:rPr>
        <w:t xml:space="preserve">, seguidas de Cantabria (+15,5 %) y Andalucía (+15,0 %). En el extremo opuesto, La Rioja (+6,1 %), Extremadura (+6,2 %) y Galicia (+7,1 %) </w:t>
      </w:r>
      <w:r w:rsidR="00DB56D6">
        <w:rPr>
          <w:rFonts w:ascii="Visby" w:hAnsi="Visby"/>
          <w:kern w:val="2"/>
          <w14:ligatures w14:val="standardContextual"/>
        </w:rPr>
        <w:t>son las regiones que experimentan</w:t>
      </w:r>
      <w:r w:rsidR="00935597" w:rsidRPr="00FC686D">
        <w:rPr>
          <w:rFonts w:ascii="Visby" w:hAnsi="Visby"/>
          <w:kern w:val="2"/>
          <w14:ligatures w14:val="standardContextual"/>
        </w:rPr>
        <w:t xml:space="preserve"> avances más moderados, aunque sin cambios de signo.</w:t>
      </w:r>
    </w:p>
    <w:p w14:paraId="5310601C" w14:textId="77777777" w:rsidR="00680ACE" w:rsidRDefault="00680ACE" w:rsidP="00FC686D">
      <w:pPr>
        <w:pStyle w:val="Sinespaciado"/>
        <w:jc w:val="both"/>
        <w:rPr>
          <w:rFonts w:ascii="Visby" w:hAnsi="Visby"/>
        </w:rPr>
      </w:pPr>
    </w:p>
    <w:p w14:paraId="0D962559" w14:textId="4C98C1AE" w:rsidR="00143052" w:rsidRDefault="00EC4D65" w:rsidP="000B12DF">
      <w:pPr>
        <w:pStyle w:val="Sinespaciado"/>
        <w:jc w:val="both"/>
        <w:rPr>
          <w:rFonts w:ascii="Visby" w:hAnsi="Visby"/>
          <w:kern w:val="2"/>
          <w14:ligatures w14:val="standardContextual"/>
        </w:rPr>
      </w:pPr>
      <w:r w:rsidRPr="00EC4D65">
        <w:rPr>
          <w:rFonts w:ascii="Visby" w:hAnsi="Visby"/>
        </w:rPr>
        <w:t>En</w:t>
      </w:r>
      <w:r w:rsidR="00143052">
        <w:rPr>
          <w:rFonts w:ascii="Visby" w:hAnsi="Visby"/>
        </w:rPr>
        <w:t xml:space="preserve"> cuanto a </w:t>
      </w:r>
      <w:r w:rsidRPr="00EC4D65">
        <w:rPr>
          <w:rFonts w:ascii="Visby" w:hAnsi="Visby"/>
        </w:rPr>
        <w:t>precio</w:t>
      </w:r>
      <w:r w:rsidR="00FC3FEF">
        <w:rPr>
          <w:rFonts w:ascii="Visby" w:hAnsi="Visby"/>
        </w:rPr>
        <w:t>s</w:t>
      </w:r>
      <w:r w:rsidRPr="00FC686D">
        <w:rPr>
          <w:rFonts w:ascii="Visby" w:hAnsi="Visby"/>
          <w:kern w:val="2"/>
          <w14:ligatures w14:val="standardContextual"/>
        </w:rPr>
        <w:t xml:space="preserve">, </w:t>
      </w:r>
      <w:r w:rsidR="00E512E9">
        <w:rPr>
          <w:rFonts w:ascii="Visby" w:hAnsi="Visby"/>
          <w:kern w:val="2"/>
          <w14:ligatures w14:val="standardContextual"/>
        </w:rPr>
        <w:t xml:space="preserve">sigue registrándose </w:t>
      </w:r>
      <w:r w:rsidR="00E512E9" w:rsidRPr="0013418A">
        <w:rPr>
          <w:rFonts w:ascii="Visby" w:hAnsi="Visby"/>
          <w:kern w:val="2"/>
          <w14:ligatures w14:val="standardContextual"/>
        </w:rPr>
        <w:t>una amplia brecha territorial</w:t>
      </w:r>
      <w:r w:rsidR="00E512E9">
        <w:rPr>
          <w:rFonts w:ascii="Visby" w:hAnsi="Visby"/>
          <w:kern w:val="2"/>
          <w14:ligatures w14:val="standardContextual"/>
        </w:rPr>
        <w:t xml:space="preserve">. </w:t>
      </w:r>
      <w:r w:rsidR="00E512E9" w:rsidRPr="00FC686D">
        <w:rPr>
          <w:rFonts w:ascii="Visby" w:hAnsi="Visby"/>
          <w:b/>
          <w:bCs/>
          <w:kern w:val="2"/>
          <w14:ligatures w14:val="standardContextual"/>
        </w:rPr>
        <w:t>B</w:t>
      </w:r>
      <w:r w:rsidR="00FC3FEF" w:rsidRPr="00FC686D">
        <w:rPr>
          <w:rFonts w:ascii="Visby" w:hAnsi="Visby"/>
          <w:b/>
          <w:bCs/>
          <w:kern w:val="2"/>
          <w14:ligatures w14:val="standardContextual"/>
        </w:rPr>
        <w:t>aleares continúa encabezando el ranking autonómico, con un valor medio de 3.439 €/m², seguida de la Comunidad de Madrid (3.298 €/m²) y Euskadi (2.751 €/m²).</w:t>
      </w:r>
      <w:r w:rsidR="00FC3FEF" w:rsidRPr="00FC686D">
        <w:rPr>
          <w:rFonts w:ascii="Visby" w:hAnsi="Visby"/>
          <w:kern w:val="2"/>
          <w14:ligatures w14:val="standardContextual"/>
        </w:rPr>
        <w:t xml:space="preserve"> A cierta distancia se sitúan Canarias (2.125 €/m²) y Cataluña (1.972 €/m²), mientras que Extremadura, Castilla-La Mancha, Castilla y León, Galicia y La Rioja permanecen entre las comunidades con los valores más reducidos con un precio medio inferior a los 1.300</w:t>
      </w:r>
      <w:r w:rsidR="00273418">
        <w:rPr>
          <w:rFonts w:ascii="Visby" w:hAnsi="Visby"/>
          <w:kern w:val="2"/>
          <w14:ligatures w14:val="standardContextual"/>
        </w:rPr>
        <w:t xml:space="preserve"> </w:t>
      </w:r>
      <w:r w:rsidR="00FC3FEF" w:rsidRPr="00FC686D">
        <w:rPr>
          <w:rFonts w:ascii="Visby" w:hAnsi="Visby"/>
          <w:kern w:val="2"/>
          <w14:ligatures w14:val="standardContextual"/>
        </w:rPr>
        <w:t>€/m²</w:t>
      </w:r>
      <w:r w:rsidR="000B12DF">
        <w:rPr>
          <w:rFonts w:ascii="Visby" w:hAnsi="Visby"/>
          <w:kern w:val="2"/>
          <w14:ligatures w14:val="standardContextual"/>
        </w:rPr>
        <w:t>.</w:t>
      </w:r>
    </w:p>
    <w:p w14:paraId="1F3DC05B" w14:textId="77777777" w:rsidR="000B12DF" w:rsidRPr="00FC686D" w:rsidRDefault="000B12DF" w:rsidP="00FC686D">
      <w:pPr>
        <w:pStyle w:val="Sinespaciado"/>
        <w:jc w:val="both"/>
        <w:rPr>
          <w:rFonts w:ascii="Visby" w:hAnsi="Visby"/>
          <w:kern w:val="2"/>
          <w14:ligatures w14:val="standardContextual"/>
        </w:rPr>
      </w:pPr>
    </w:p>
    <w:p w14:paraId="18E0FD40" w14:textId="4E5E28E3" w:rsidR="00D93AA4" w:rsidRPr="00FC686D" w:rsidRDefault="00D93AA4" w:rsidP="00FC686D">
      <w:pPr>
        <w:pStyle w:val="Sinespaciado"/>
        <w:jc w:val="both"/>
        <w:rPr>
          <w:rFonts w:ascii="Visby" w:hAnsi="Visby"/>
        </w:rPr>
      </w:pPr>
      <w:r w:rsidRPr="00FC686D">
        <w:rPr>
          <w:rFonts w:ascii="Visby" w:hAnsi="Visby"/>
        </w:rPr>
        <w:t xml:space="preserve">En las capitales de provincia, </w:t>
      </w:r>
      <w:r w:rsidRPr="00FC686D">
        <w:rPr>
          <w:rFonts w:ascii="Visby" w:hAnsi="Visby"/>
          <w:b/>
          <w:bCs/>
        </w:rPr>
        <w:t>San Sebastián vuelve a situarse como la ciudad con el valor unitario más elevado, alcanzando los 4.906 €/m².</w:t>
      </w:r>
      <w:r w:rsidRPr="00FC686D">
        <w:rPr>
          <w:rFonts w:ascii="Visby" w:hAnsi="Visby"/>
        </w:rPr>
        <w:t xml:space="preserve"> </w:t>
      </w:r>
      <w:r w:rsidR="00716708">
        <w:rPr>
          <w:rFonts w:ascii="Visby" w:hAnsi="Visby"/>
        </w:rPr>
        <w:t xml:space="preserve">Tras ella </w:t>
      </w:r>
      <w:r w:rsidRPr="00FC686D">
        <w:rPr>
          <w:rFonts w:ascii="Visby" w:hAnsi="Visby"/>
        </w:rPr>
        <w:t>se sitúa</w:t>
      </w:r>
      <w:r w:rsidR="00716708">
        <w:rPr>
          <w:rFonts w:ascii="Visby" w:hAnsi="Visby"/>
        </w:rPr>
        <w:t>n</w:t>
      </w:r>
      <w:r w:rsidR="00E91AED">
        <w:rPr>
          <w:rFonts w:ascii="Visby" w:hAnsi="Visby"/>
        </w:rPr>
        <w:t xml:space="preserve"> la ciudad de</w:t>
      </w:r>
      <w:r w:rsidRPr="00FC686D">
        <w:rPr>
          <w:rFonts w:ascii="Visby" w:hAnsi="Visby"/>
        </w:rPr>
        <w:t xml:space="preserve"> Madrid (4.425 €/m²) y Barcelona (4.127 €/m²), seguidas de Palma de Mallorca (3.407 €/m²) y Málaga (3.064 €/m²), lo que confirma el liderazgo de los principales mercados urbanos y costeros de alta demanda. Por otra parte, las capitales con precios más contenidos son Lérida, Cáceres y Teruel, con valores que se sitúan en el entorno de los 1.150–1.200 €/m².</w:t>
      </w:r>
    </w:p>
    <w:p w14:paraId="038D8AF4" w14:textId="77777777" w:rsidR="00D93AA4" w:rsidRPr="00FC686D" w:rsidRDefault="00D93AA4" w:rsidP="00FC686D">
      <w:pPr>
        <w:pStyle w:val="Sinespaciado"/>
        <w:jc w:val="both"/>
        <w:rPr>
          <w:rFonts w:ascii="Visby" w:hAnsi="Visby"/>
          <w:kern w:val="2"/>
          <w14:ligatures w14:val="standardContextual"/>
        </w:rPr>
      </w:pPr>
    </w:p>
    <w:p w14:paraId="6974D615" w14:textId="70168C34" w:rsidR="00EC4D65" w:rsidRPr="00EC4D65" w:rsidRDefault="00EC4D65" w:rsidP="00C70CDF">
      <w:pPr>
        <w:jc w:val="both"/>
        <w:rPr>
          <w:rFonts w:ascii="Visby" w:hAnsi="Visby"/>
          <w:b/>
          <w:bCs/>
        </w:rPr>
      </w:pPr>
      <w:r w:rsidRPr="00EC4D65">
        <w:rPr>
          <w:rFonts w:ascii="Visby" w:hAnsi="Visby"/>
          <w:b/>
          <w:bCs/>
        </w:rPr>
        <w:t xml:space="preserve">El alquiler mantiene </w:t>
      </w:r>
      <w:r w:rsidR="006E5D43">
        <w:rPr>
          <w:rFonts w:ascii="Visby" w:hAnsi="Visby"/>
          <w:b/>
          <w:bCs/>
        </w:rPr>
        <w:t>la presión al alza</w:t>
      </w:r>
    </w:p>
    <w:p w14:paraId="4B10A9C2" w14:textId="1B37B08F" w:rsidR="008517D1" w:rsidRDefault="00075EE9" w:rsidP="008517D1">
      <w:pPr>
        <w:pStyle w:val="Sinespaciado"/>
        <w:jc w:val="both"/>
        <w:rPr>
          <w:rFonts w:ascii="Visby" w:hAnsi="Visby"/>
          <w:kern w:val="2"/>
          <w14:ligatures w14:val="standardContextual"/>
        </w:rPr>
      </w:pPr>
      <w:r>
        <w:rPr>
          <w:rFonts w:ascii="Visby" w:hAnsi="Visby"/>
        </w:rPr>
        <w:t xml:space="preserve">A </w:t>
      </w:r>
      <w:r w:rsidRPr="00FC686D">
        <w:rPr>
          <w:rFonts w:ascii="Visby" w:hAnsi="Visby"/>
          <w:kern w:val="2"/>
          <w14:ligatures w14:val="standardContextual"/>
        </w:rPr>
        <w:t>nivel</w:t>
      </w:r>
      <w:r w:rsidR="00EC4D65" w:rsidRPr="00FC686D">
        <w:rPr>
          <w:rFonts w:ascii="Visby" w:hAnsi="Visby"/>
          <w:kern w:val="2"/>
          <w14:ligatures w14:val="standardContextual"/>
        </w:rPr>
        <w:t xml:space="preserve"> provincial, </w:t>
      </w:r>
      <w:r w:rsidR="00D83977" w:rsidRPr="00FC686D">
        <w:rPr>
          <w:rFonts w:ascii="Visby" w:hAnsi="Visby"/>
          <w:kern w:val="2"/>
          <w14:ligatures w14:val="standardContextual"/>
        </w:rPr>
        <w:t>el alquiler intensifica su crecimiento en vari</w:t>
      </w:r>
      <w:r w:rsidR="00C92E6B">
        <w:rPr>
          <w:rFonts w:ascii="Visby" w:hAnsi="Visby"/>
          <w:kern w:val="2"/>
          <w14:ligatures w14:val="standardContextual"/>
        </w:rPr>
        <w:t xml:space="preserve">as regiones </w:t>
      </w:r>
      <w:r w:rsidR="00D83977" w:rsidRPr="00FC686D">
        <w:rPr>
          <w:rFonts w:ascii="Visby" w:hAnsi="Visby"/>
          <w:kern w:val="2"/>
          <w14:ligatures w14:val="standardContextual"/>
        </w:rPr>
        <w:t xml:space="preserve">del interior. Encabezan las subidas </w:t>
      </w:r>
      <w:r w:rsidR="00D83977" w:rsidRPr="00FC686D">
        <w:rPr>
          <w:rFonts w:ascii="Visby" w:hAnsi="Visby"/>
          <w:b/>
          <w:bCs/>
          <w:kern w:val="2"/>
          <w14:ligatures w14:val="standardContextual"/>
        </w:rPr>
        <w:t>Segovia (+15,4 %), Toledo (+14,7 %) y Ciudad Real (+14,6 %),</w:t>
      </w:r>
      <w:r w:rsidR="00D83977" w:rsidRPr="00FC686D">
        <w:rPr>
          <w:rFonts w:ascii="Visby" w:hAnsi="Visby"/>
          <w:kern w:val="2"/>
          <w14:ligatures w14:val="standardContextual"/>
        </w:rPr>
        <w:t xml:space="preserve"> acompañadas por Guadalajara (+12,7 %) y Castellón (+12,3 %). </w:t>
      </w:r>
      <w:r w:rsidR="007814C3">
        <w:rPr>
          <w:rFonts w:ascii="Visby" w:hAnsi="Visby"/>
          <w:kern w:val="2"/>
          <w14:ligatures w14:val="standardContextual"/>
        </w:rPr>
        <w:t>En cambio</w:t>
      </w:r>
      <w:r w:rsidR="00D83977" w:rsidRPr="00FC686D">
        <w:rPr>
          <w:rFonts w:ascii="Visby" w:hAnsi="Visby"/>
          <w:kern w:val="2"/>
          <w14:ligatures w14:val="standardContextual"/>
        </w:rPr>
        <w:t xml:space="preserve">, Barcelona (-1,7 %) y Girona (-0,7 %) registran </w:t>
      </w:r>
      <w:r w:rsidR="00AD51E7" w:rsidRPr="00FC686D">
        <w:rPr>
          <w:rFonts w:ascii="Visby" w:hAnsi="Visby"/>
          <w:kern w:val="2"/>
          <w14:ligatures w14:val="standardContextual"/>
        </w:rPr>
        <w:t>contracciones</w:t>
      </w:r>
      <w:r w:rsidR="00874209">
        <w:rPr>
          <w:rFonts w:ascii="Visby" w:hAnsi="Visby"/>
          <w:kern w:val="2"/>
          <w14:ligatures w14:val="standardContextual"/>
        </w:rPr>
        <w:t xml:space="preserve"> puntuales</w:t>
      </w:r>
      <w:r w:rsidR="00AB68EF">
        <w:rPr>
          <w:rFonts w:ascii="Visby" w:hAnsi="Visby"/>
          <w:kern w:val="2"/>
          <w14:ligatures w14:val="standardContextual"/>
        </w:rPr>
        <w:t>.</w:t>
      </w:r>
    </w:p>
    <w:p w14:paraId="217CBFAF" w14:textId="77777777" w:rsidR="008517D1" w:rsidRPr="00FC686D" w:rsidRDefault="008517D1" w:rsidP="00FC686D">
      <w:pPr>
        <w:pStyle w:val="Sinespaciado"/>
        <w:jc w:val="both"/>
        <w:rPr>
          <w:rFonts w:ascii="Visby" w:hAnsi="Visby"/>
          <w:kern w:val="2"/>
          <w14:ligatures w14:val="standardContextual"/>
        </w:rPr>
      </w:pPr>
    </w:p>
    <w:p w14:paraId="7BDD1D0A" w14:textId="60BFDE28" w:rsidR="0045336D" w:rsidRPr="00FC686D" w:rsidRDefault="00EC4D65" w:rsidP="0045336D">
      <w:pPr>
        <w:spacing w:line="240" w:lineRule="auto"/>
        <w:jc w:val="both"/>
        <w:rPr>
          <w:rFonts w:ascii="Visby" w:hAnsi="Visby"/>
        </w:rPr>
      </w:pPr>
      <w:r w:rsidRPr="00EC4D65">
        <w:rPr>
          <w:rFonts w:ascii="Visby" w:hAnsi="Visby"/>
        </w:rPr>
        <w:t xml:space="preserve">En términos de precios, </w:t>
      </w:r>
      <w:r w:rsidR="0045336D" w:rsidRPr="00FC686D">
        <w:rPr>
          <w:rFonts w:ascii="Visby" w:hAnsi="Visby"/>
          <w:b/>
          <w:bCs/>
        </w:rPr>
        <w:t>los alquileres más elevados siguen concentrándose en los principales mercados urbanos y turísticos</w:t>
      </w:r>
      <w:r w:rsidR="0045336D" w:rsidRPr="00FC686D">
        <w:rPr>
          <w:rFonts w:ascii="Visby" w:hAnsi="Visby"/>
        </w:rPr>
        <w:t xml:space="preserve">. Barcelona </w:t>
      </w:r>
      <w:r w:rsidR="0045336D">
        <w:rPr>
          <w:rFonts w:ascii="Visby" w:hAnsi="Visby"/>
        </w:rPr>
        <w:t xml:space="preserve">lidera </w:t>
      </w:r>
      <w:r w:rsidR="00DC5422">
        <w:rPr>
          <w:rFonts w:ascii="Visby" w:hAnsi="Visby"/>
        </w:rPr>
        <w:t>el listado</w:t>
      </w:r>
      <w:r w:rsidR="0045336D" w:rsidRPr="00FC686D">
        <w:rPr>
          <w:rFonts w:ascii="Visby" w:hAnsi="Visby"/>
        </w:rPr>
        <w:t xml:space="preserve"> con 23,30 €/m²/mes, seguida de Madrid (22,59 €/m²/mes) y Baleares (20,29 €/m²/mes), todas ellas por encima de los 20 €/m²/mes. También se mantienen </w:t>
      </w:r>
      <w:r w:rsidR="00DC5422">
        <w:rPr>
          <w:rFonts w:ascii="Visby" w:hAnsi="Visby"/>
        </w:rPr>
        <w:t>con precios elevados</w:t>
      </w:r>
      <w:r w:rsidR="0045336D" w:rsidRPr="00FC686D">
        <w:rPr>
          <w:rFonts w:ascii="Visby" w:hAnsi="Visby"/>
        </w:rPr>
        <w:t xml:space="preserve"> Guipúzcoa (18,59 €/m²/mes) y Málaga (17,11 €/m²/mes), mientras que Jaén, Teruel, Cáceres, Cuenca y Zamora presentan los niveles más reducidos por debajo de los 7 €/m²/mes.</w:t>
      </w:r>
    </w:p>
    <w:p w14:paraId="45455891" w14:textId="77777777" w:rsidR="001A25E6" w:rsidRDefault="001A25E6" w:rsidP="00C70CDF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b/>
          <w:bCs/>
          <w:color w:val="2177BE"/>
          <w:sz w:val="20"/>
          <w:szCs w:val="20"/>
        </w:rPr>
      </w:pPr>
    </w:p>
    <w:p w14:paraId="3C1E6B12" w14:textId="21EABC45" w:rsidR="00C70CDF" w:rsidRPr="003C6814" w:rsidRDefault="00C70CDF" w:rsidP="00C70CDF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b/>
          <w:bCs/>
          <w:color w:val="2177BE"/>
          <w:sz w:val="20"/>
          <w:szCs w:val="20"/>
        </w:rPr>
      </w:pPr>
      <w:r w:rsidRPr="003C6814">
        <w:rPr>
          <w:rFonts w:ascii="Visby" w:hAnsi="Visby" w:cs="Baghdad"/>
          <w:b/>
          <w:bCs/>
          <w:color w:val="2177BE"/>
          <w:sz w:val="20"/>
          <w:szCs w:val="20"/>
        </w:rPr>
        <w:t xml:space="preserve">Acerca de </w:t>
      </w:r>
      <w:proofErr w:type="spellStart"/>
      <w:r w:rsidRPr="003C6814">
        <w:rPr>
          <w:rFonts w:ascii="Visby" w:hAnsi="Visby" w:cs="Baghdad"/>
          <w:b/>
          <w:bCs/>
          <w:color w:val="2177BE"/>
          <w:sz w:val="20"/>
          <w:szCs w:val="20"/>
        </w:rPr>
        <w:t>Gesvalt</w:t>
      </w:r>
      <w:proofErr w:type="spellEnd"/>
    </w:p>
    <w:p w14:paraId="75FE7245" w14:textId="77777777" w:rsidR="00C70CDF" w:rsidRPr="003C6814" w:rsidRDefault="00C70CDF" w:rsidP="00C70CDF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</w:rPr>
      </w:pPr>
      <w:proofErr w:type="spellStart"/>
      <w:r w:rsidRPr="003C6814">
        <w:rPr>
          <w:rFonts w:ascii="Visby" w:hAnsi="Visby" w:cs="Baghdad"/>
          <w:b/>
          <w:bCs/>
          <w:color w:val="000000" w:themeColor="text1"/>
          <w:sz w:val="20"/>
          <w:szCs w:val="20"/>
        </w:rPr>
        <w:t>Gesvalt</w:t>
      </w:r>
      <w:proofErr w:type="spellEnd"/>
      <w:r w:rsidRPr="003C6814">
        <w:rPr>
          <w:rFonts w:ascii="Visby" w:hAnsi="Visby" w:cs="Baghdad"/>
          <w:b/>
          <w:bCs/>
          <w:color w:val="000000" w:themeColor="text1"/>
          <w:sz w:val="20"/>
          <w:szCs w:val="20"/>
        </w:rPr>
        <w:t xml:space="preserve"> </w:t>
      </w:r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es una compañía de referencia en el sector de la consultoría, valoración y actuaciones técnicas. Su experiencia de más de 30 años, un equipo de profesionales altamente cualificados y el firme compromiso por ofrecer un servicio de máxima calidad, son las claves para convertirse en socios estratégicos de las principales compañías privadas y entidades públicas. </w:t>
      </w:r>
    </w:p>
    <w:p w14:paraId="3D72AE03" w14:textId="77777777" w:rsidR="00C70CDF" w:rsidRDefault="00C70CDF" w:rsidP="00C70CDF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</w:pPr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Cuenta con gran implantación de oficinas en España, Portugal y Colombia. Además, la firma forma parte del grupo internacional </w:t>
      </w:r>
      <w:proofErr w:type="spellStart"/>
      <w:r w:rsidRPr="003C6814">
        <w:rPr>
          <w:rFonts w:ascii="Visby" w:hAnsi="Visby" w:cs="Baghdad"/>
          <w:color w:val="000000" w:themeColor="text1"/>
          <w:sz w:val="20"/>
          <w:szCs w:val="20"/>
        </w:rPr>
        <w:t>Valuation</w:t>
      </w:r>
      <w:proofErr w:type="spellEnd"/>
      <w:r w:rsidRPr="003C6814">
        <w:rPr>
          <w:rFonts w:ascii="Visby" w:hAnsi="Visby" w:cs="Cambria"/>
          <w:color w:val="000000" w:themeColor="text1"/>
          <w:sz w:val="20"/>
          <w:szCs w:val="20"/>
        </w:rPr>
        <w:t xml:space="preserve"> </w:t>
      </w:r>
      <w:proofErr w:type="spellStart"/>
      <w:r w:rsidRPr="003C6814">
        <w:rPr>
          <w:rFonts w:ascii="Visby" w:hAnsi="Visby" w:cs="Baghdad"/>
          <w:color w:val="000000" w:themeColor="text1"/>
          <w:sz w:val="20"/>
          <w:szCs w:val="20"/>
        </w:rPr>
        <w:t>Research</w:t>
      </w:r>
      <w:proofErr w:type="spellEnd"/>
      <w:r w:rsidRPr="003C6814">
        <w:rPr>
          <w:rFonts w:ascii="Visby" w:hAnsi="Visby" w:cs="Cambria"/>
          <w:color w:val="000000" w:themeColor="text1"/>
          <w:sz w:val="20"/>
          <w:szCs w:val="20"/>
        </w:rPr>
        <w:t xml:space="preserve"> </w:t>
      </w:r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Group (VRG) que le permite operar en más de 60 países del mundo, y de PRAXI </w:t>
      </w:r>
      <w:proofErr w:type="spellStart"/>
      <w:r w:rsidRPr="003C6814">
        <w:rPr>
          <w:rFonts w:ascii="Visby" w:hAnsi="Visby" w:cs="Baghdad"/>
          <w:color w:val="000000" w:themeColor="text1"/>
          <w:sz w:val="20"/>
          <w:szCs w:val="20"/>
        </w:rPr>
        <w:t>Valuations</w:t>
      </w:r>
      <w:proofErr w:type="spellEnd"/>
      <w:r w:rsidRPr="003C6814">
        <w:rPr>
          <w:rFonts w:ascii="Visby" w:hAnsi="Visby" w:cs="Baghdad"/>
          <w:color w:val="000000" w:themeColor="text1"/>
          <w:sz w:val="20"/>
          <w:szCs w:val="20"/>
        </w:rPr>
        <w:t>, la red especializada en la valoración de activos inmobiliarios, industriales y empresariales, con una sólida cobertura en toda Europa.</w:t>
      </w:r>
    </w:p>
    <w:p w14:paraId="738A871F" w14:textId="77777777" w:rsidR="00C70CDF" w:rsidRPr="003C6814" w:rsidRDefault="00C70CDF" w:rsidP="00C70CDF">
      <w:pPr>
        <w:widowControl w:val="0"/>
        <w:autoSpaceDE w:val="0"/>
        <w:autoSpaceDN w:val="0"/>
        <w:adjustRightInd w:val="0"/>
        <w:spacing w:after="60"/>
        <w:jc w:val="both"/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</w:pPr>
      <w:r w:rsidRPr="003C6814"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  <w:t xml:space="preserve">Gema Gómez </w:t>
      </w:r>
    </w:p>
    <w:p w14:paraId="246EAEE4" w14:textId="77777777" w:rsidR="00C70CDF" w:rsidRPr="003C6814" w:rsidRDefault="00C70CDF" w:rsidP="00C70CDF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  <w:hyperlink r:id="rId10" w:history="1">
        <w:r w:rsidRPr="003C6814">
          <w:rPr>
            <w:rStyle w:val="Hipervnculo"/>
            <w:rFonts w:ascii="Visby" w:hAnsi="Visby" w:cs="Baghdad"/>
            <w:sz w:val="20"/>
            <w:szCs w:val="20"/>
          </w:rPr>
          <w:t>ggomez@gesvalt.es</w:t>
        </w:r>
      </w:hyperlink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 · 914 576 057</w:t>
      </w:r>
    </w:p>
    <w:p w14:paraId="453839C5" w14:textId="77777777" w:rsidR="00C70CDF" w:rsidRPr="003C6814" w:rsidRDefault="00C70CDF" w:rsidP="00C70CDF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  <w:r w:rsidRPr="003C6814">
        <w:rPr>
          <w:rFonts w:ascii="Visby" w:hAnsi="Visby" w:cs="Baghdad"/>
          <w:color w:val="000000" w:themeColor="text1"/>
          <w:sz w:val="20"/>
          <w:szCs w:val="20"/>
        </w:rPr>
        <w:lastRenderedPageBreak/>
        <w:t>Paseo de la Castellana, 164, 28046 – Madrid</w:t>
      </w:r>
    </w:p>
    <w:p w14:paraId="190D0559" w14:textId="77777777" w:rsidR="00C70CDF" w:rsidRPr="003C6814" w:rsidRDefault="00C70CDF" w:rsidP="00C70CDF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</w:p>
    <w:p w14:paraId="2392E573" w14:textId="77777777" w:rsidR="00C70CDF" w:rsidRPr="005532A6" w:rsidRDefault="00C70CDF" w:rsidP="00C70CDF">
      <w:pPr>
        <w:widowControl w:val="0"/>
        <w:autoSpaceDE w:val="0"/>
        <w:autoSpaceDN w:val="0"/>
        <w:adjustRightInd w:val="0"/>
        <w:spacing w:after="60"/>
        <w:jc w:val="both"/>
        <w:rPr>
          <w:rFonts w:ascii="Visby Semibold" w:hAnsi="Visby Semibold" w:cs="Baghdad"/>
          <w:b/>
          <w:bCs/>
          <w:color w:val="000000" w:themeColor="text1"/>
          <w:sz w:val="20"/>
          <w:szCs w:val="20"/>
          <w:lang w:val="pt-BR"/>
        </w:rPr>
      </w:pPr>
      <w:r w:rsidRPr="005532A6">
        <w:rPr>
          <w:rFonts w:ascii="Visby Semibold" w:hAnsi="Visby Semibold" w:cs="Baghdad"/>
          <w:b/>
          <w:bCs/>
          <w:color w:val="000000" w:themeColor="text1"/>
          <w:sz w:val="20"/>
          <w:szCs w:val="20"/>
          <w:lang w:val="pt-BR"/>
        </w:rPr>
        <w:t>Beatriz Portero                     Marina Díez</w:t>
      </w:r>
    </w:p>
    <w:p w14:paraId="55793681" w14:textId="77777777" w:rsidR="00C70CDF" w:rsidRPr="005532A6" w:rsidRDefault="00C70CDF" w:rsidP="00C70CDF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  <w:hyperlink r:id="rId11" w:history="1">
        <w:r w:rsidRPr="00CE155E">
          <w:rPr>
            <w:rStyle w:val="Hipervnculo"/>
            <w:rFonts w:ascii="Visby" w:hAnsi="Visby" w:cs="Baghdad"/>
            <w:sz w:val="20"/>
            <w:szCs w:val="20"/>
            <w:lang w:val="pt-BR"/>
          </w:rPr>
          <w:t>bportero@kreab.com</w:t>
        </w:r>
      </w:hyperlink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     </w:t>
      </w:r>
      <w:hyperlink r:id="rId12" w:history="1">
        <w:r w:rsidRPr="005532A6">
          <w:rPr>
            <w:rStyle w:val="Hipervnculo"/>
            <w:rFonts w:ascii="Visby" w:hAnsi="Visby" w:cs="Baghdad"/>
            <w:sz w:val="20"/>
            <w:szCs w:val="20"/>
            <w:lang w:val="pt-BR"/>
          </w:rPr>
          <w:t>mdiez@kreab.com</w:t>
        </w:r>
      </w:hyperlink>
    </w:p>
    <w:p w14:paraId="262CE8E1" w14:textId="5963575B" w:rsidR="00C70CDF" w:rsidRPr="005532A6" w:rsidRDefault="004C7DC1" w:rsidP="00C70CDF">
      <w:pPr>
        <w:pStyle w:val="NormalWeb"/>
        <w:spacing w:after="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1" behindDoc="0" locked="0" layoutInCell="1" allowOverlap="1" wp14:anchorId="21EF9818" wp14:editId="531B1CB1">
            <wp:simplePos x="0" y="0"/>
            <wp:positionH relativeFrom="column">
              <wp:posOffset>-133985</wp:posOffset>
            </wp:positionH>
            <wp:positionV relativeFrom="paragraph">
              <wp:posOffset>458470</wp:posOffset>
            </wp:positionV>
            <wp:extent cx="1301750" cy="354522"/>
            <wp:effectExtent l="0" t="0" r="0" b="0"/>
            <wp:wrapSquare wrapText="bothSides"/>
            <wp:docPr id="3902110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211015" name="Imagen 39021101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354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0CDF"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</w:t>
      </w:r>
      <w:hyperlink r:id="rId14" w:tgtFrame="_blank" w:history="1">
        <w:r w:rsidR="00C70CDF" w:rsidRPr="00A92272">
          <w:rPr>
            <w:rFonts w:ascii="Visby" w:hAnsi="Visby" w:cs="Baghdad"/>
            <w:color w:val="000000" w:themeColor="text1"/>
            <w:sz w:val="20"/>
            <w:szCs w:val="20"/>
            <w:lang w:val="pt-BR"/>
          </w:rPr>
          <w:t>692</w:t>
        </w:r>
        <w:r w:rsidR="00C70CDF">
          <w:rPr>
            <w:rFonts w:ascii="Visby" w:hAnsi="Visby" w:cs="Baghdad"/>
            <w:color w:val="000000" w:themeColor="text1"/>
            <w:sz w:val="20"/>
            <w:szCs w:val="20"/>
            <w:lang w:val="pt-BR"/>
          </w:rPr>
          <w:t xml:space="preserve"> </w:t>
        </w:r>
        <w:r w:rsidR="00C70CDF" w:rsidRPr="00A92272">
          <w:rPr>
            <w:rFonts w:ascii="Visby" w:hAnsi="Visby" w:cs="Baghdad"/>
            <w:color w:val="000000" w:themeColor="text1"/>
            <w:sz w:val="20"/>
            <w:szCs w:val="20"/>
            <w:lang w:val="pt-BR"/>
          </w:rPr>
          <w:t>59</w:t>
        </w:r>
        <w:r w:rsidR="00C70CDF">
          <w:rPr>
            <w:rFonts w:ascii="Visby" w:hAnsi="Visby" w:cs="Baghdad"/>
            <w:color w:val="000000" w:themeColor="text1"/>
            <w:sz w:val="20"/>
            <w:szCs w:val="20"/>
            <w:lang w:val="pt-BR"/>
          </w:rPr>
          <w:t xml:space="preserve"> </w:t>
        </w:r>
        <w:r w:rsidR="00C70CDF" w:rsidRPr="00A92272">
          <w:rPr>
            <w:rFonts w:ascii="Visby" w:hAnsi="Visby" w:cs="Baghdad"/>
            <w:color w:val="000000" w:themeColor="text1"/>
            <w:sz w:val="20"/>
            <w:szCs w:val="20"/>
            <w:lang w:val="pt-BR"/>
          </w:rPr>
          <w:t>32</w:t>
        </w:r>
        <w:r w:rsidR="00C70CDF">
          <w:rPr>
            <w:rFonts w:ascii="Visby" w:hAnsi="Visby" w:cs="Baghdad"/>
            <w:color w:val="000000" w:themeColor="text1"/>
            <w:sz w:val="20"/>
            <w:szCs w:val="20"/>
            <w:lang w:val="pt-BR"/>
          </w:rPr>
          <w:t xml:space="preserve"> </w:t>
        </w:r>
        <w:r w:rsidR="00C70CDF" w:rsidRPr="00A92272">
          <w:rPr>
            <w:rFonts w:ascii="Visby" w:hAnsi="Visby" w:cs="Baghdad"/>
            <w:color w:val="000000" w:themeColor="text1"/>
            <w:sz w:val="20"/>
            <w:szCs w:val="20"/>
            <w:lang w:val="pt-BR"/>
          </w:rPr>
          <w:t>14</w:t>
        </w:r>
      </w:hyperlink>
      <w:r w:rsidR="00C70CDF">
        <w:rPr>
          <w:rFonts w:ascii="Visby" w:hAnsi="Visby" w:cs="Baghdad"/>
          <w:color w:val="000000" w:themeColor="text1"/>
          <w:sz w:val="20"/>
          <w:szCs w:val="20"/>
          <w:lang w:val="pt-BR"/>
        </w:rPr>
        <w:tab/>
      </w:r>
      <w:r w:rsidR="00C70CDF"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ab/>
        <w:t>691 435 343</w:t>
      </w:r>
    </w:p>
    <w:p w14:paraId="23EEB670" w14:textId="07F7B237" w:rsidR="00C70CDF" w:rsidRPr="005532A6" w:rsidRDefault="00C70CDF" w:rsidP="00C70CDF">
      <w:pPr>
        <w:widowControl w:val="0"/>
        <w:tabs>
          <w:tab w:val="left" w:pos="2971"/>
        </w:tabs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</w:p>
    <w:p w14:paraId="504B78C5" w14:textId="6D2902F5" w:rsidR="00DD0237" w:rsidRPr="004175CA" w:rsidRDefault="005C6500" w:rsidP="00C70CDF">
      <w:pPr>
        <w:jc w:val="both"/>
        <w:rPr>
          <w:rFonts w:ascii="Visby" w:hAnsi="Visby"/>
        </w:rPr>
      </w:pPr>
      <w:r w:rsidRPr="003C681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438451" wp14:editId="09FB911A">
                <wp:simplePos x="0" y="0"/>
                <wp:positionH relativeFrom="page">
                  <wp:posOffset>22860</wp:posOffset>
                </wp:positionH>
                <wp:positionV relativeFrom="page">
                  <wp:posOffset>7995285</wp:posOffset>
                </wp:positionV>
                <wp:extent cx="7330440" cy="2679700"/>
                <wp:effectExtent l="0" t="0" r="0" b="0"/>
                <wp:wrapNone/>
                <wp:docPr id="8" name="AutoShap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4D28C375-3184-4CA0-95E0-78A2285C0E7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30440" cy="2679700"/>
                        </a:xfrm>
                        <a:custGeom>
                          <a:avLst/>
                          <a:gdLst>
                            <a:gd name="T0" fmla="*/ 1164 w 11544"/>
                            <a:gd name="T1" fmla="+- 0 13338 12618"/>
                            <a:gd name="T2" fmla="*/ 13338 h 4220"/>
                            <a:gd name="T3" fmla="*/ 260 w 11544"/>
                            <a:gd name="T4" fmla="+- 0 13558 12618"/>
                            <a:gd name="T5" fmla="*/ 13558 h 4220"/>
                            <a:gd name="T6" fmla="*/ 0 w 11544"/>
                            <a:gd name="T7" fmla="+- 0 13658 12618"/>
                            <a:gd name="T8" fmla="*/ 13658 h 4220"/>
                            <a:gd name="T9" fmla="*/ 882 w 11544"/>
                            <a:gd name="T10" fmla="+- 0 16798 12618"/>
                            <a:gd name="T11" fmla="*/ 16798 h 4220"/>
                            <a:gd name="T12" fmla="*/ 981 w 11544"/>
                            <a:gd name="T13" fmla="+- 0 16618 12618"/>
                            <a:gd name="T14" fmla="*/ 16618 h 4220"/>
                            <a:gd name="T15" fmla="*/ 1096 w 11544"/>
                            <a:gd name="T16" fmla="+- 0 16458 12618"/>
                            <a:gd name="T17" fmla="*/ 16458 h 4220"/>
                            <a:gd name="T18" fmla="*/ 1227 w 11544"/>
                            <a:gd name="T19" fmla="+- 0 16318 12618"/>
                            <a:gd name="T20" fmla="*/ 16318 h 4220"/>
                            <a:gd name="T21" fmla="*/ 1376 w 11544"/>
                            <a:gd name="T22" fmla="+- 0 16198 12618"/>
                            <a:gd name="T23" fmla="*/ 16198 h 4220"/>
                            <a:gd name="T24" fmla="*/ 1540 w 11544"/>
                            <a:gd name="T25" fmla="+- 0 16078 12618"/>
                            <a:gd name="T26" fmla="*/ 16078 h 4220"/>
                            <a:gd name="T27" fmla="*/ 1720 w 11544"/>
                            <a:gd name="T28" fmla="+- 0 15978 12618"/>
                            <a:gd name="T29" fmla="*/ 15978 h 4220"/>
                            <a:gd name="T30" fmla="*/ 2054 w 11544"/>
                            <a:gd name="T31" fmla="+- 0 15858 12618"/>
                            <a:gd name="T32" fmla="*/ 15858 h 4220"/>
                            <a:gd name="T33" fmla="*/ 2352 w 11544"/>
                            <a:gd name="T34" fmla="+- 0 15798 12618"/>
                            <a:gd name="T35" fmla="*/ 15798 h 4220"/>
                            <a:gd name="T36" fmla="*/ 2675 w 11544"/>
                            <a:gd name="T37" fmla="+- 0 15778 12618"/>
                            <a:gd name="T38" fmla="*/ 15778 h 4220"/>
                            <a:gd name="T39" fmla="*/ 10440 w 11544"/>
                            <a:gd name="T40" fmla="+- 0 15738 12618"/>
                            <a:gd name="T41" fmla="*/ 15738 h 4220"/>
                            <a:gd name="T42" fmla="*/ 11094 w 11544"/>
                            <a:gd name="T43" fmla="+- 0 15358 12618"/>
                            <a:gd name="T44" fmla="*/ 15358 h 4220"/>
                            <a:gd name="T45" fmla="*/ 11351 w 11544"/>
                            <a:gd name="T46" fmla="+- 0 15138 12618"/>
                            <a:gd name="T47" fmla="*/ 15138 h 4220"/>
                            <a:gd name="T48" fmla="*/ 10803 w 11544"/>
                            <a:gd name="T49" fmla="+- 0 13838 12618"/>
                            <a:gd name="T50" fmla="*/ 13838 h 4220"/>
                            <a:gd name="T51" fmla="*/ 6715 w 11544"/>
                            <a:gd name="T52" fmla="+- 0 13818 12618"/>
                            <a:gd name="T53" fmla="*/ 13818 h 4220"/>
                            <a:gd name="T54" fmla="*/ 6505 w 11544"/>
                            <a:gd name="T55" fmla="+- 0 13778 12618"/>
                            <a:gd name="T56" fmla="*/ 13778 h 4220"/>
                            <a:gd name="T57" fmla="*/ 6121 w 11544"/>
                            <a:gd name="T58" fmla="+- 0 13718 12618"/>
                            <a:gd name="T59" fmla="*/ 13718 h 4220"/>
                            <a:gd name="T60" fmla="*/ 5680 w 11544"/>
                            <a:gd name="T61" fmla="+- 0 13598 12618"/>
                            <a:gd name="T62" fmla="*/ 13598 h 4220"/>
                            <a:gd name="T63" fmla="*/ 5195 w 11544"/>
                            <a:gd name="T64" fmla="+- 0 13478 12618"/>
                            <a:gd name="T65" fmla="*/ 13478 h 4220"/>
                            <a:gd name="T66" fmla="*/ 4427 w 11544"/>
                            <a:gd name="T67" fmla="+- 0 13318 12618"/>
                            <a:gd name="T68" fmla="*/ 13318 h 4220"/>
                            <a:gd name="T69" fmla="*/ 10373 w 11544"/>
                            <a:gd name="T70" fmla="+- 0 15758 12618"/>
                            <a:gd name="T71" fmla="*/ 15758 h 4220"/>
                            <a:gd name="T72" fmla="*/ 3184 w 11544"/>
                            <a:gd name="T73" fmla="+- 0 15778 12618"/>
                            <a:gd name="T74" fmla="*/ 15778 h 4220"/>
                            <a:gd name="T75" fmla="*/ 3496 w 11544"/>
                            <a:gd name="T76" fmla="+- 0 15838 12618"/>
                            <a:gd name="T77" fmla="*/ 15838 h 4220"/>
                            <a:gd name="T78" fmla="*/ 3850 w 11544"/>
                            <a:gd name="T79" fmla="+- 0 15938 12618"/>
                            <a:gd name="T80" fmla="*/ 15938 h 4220"/>
                            <a:gd name="T81" fmla="*/ 4104 w 11544"/>
                            <a:gd name="T82" fmla="+- 0 16038 12618"/>
                            <a:gd name="T83" fmla="*/ 16038 h 4220"/>
                            <a:gd name="T84" fmla="*/ 4276 w 11544"/>
                            <a:gd name="T85" fmla="+- 0 16158 12618"/>
                            <a:gd name="T86" fmla="*/ 16158 h 4220"/>
                            <a:gd name="T87" fmla="*/ 4432 w 11544"/>
                            <a:gd name="T88" fmla="+- 0 16278 12618"/>
                            <a:gd name="T89" fmla="*/ 16278 h 4220"/>
                            <a:gd name="T90" fmla="*/ 4571 w 11544"/>
                            <a:gd name="T91" fmla="+- 0 16418 12618"/>
                            <a:gd name="T92" fmla="*/ 16418 h 4220"/>
                            <a:gd name="T93" fmla="*/ 4694 w 11544"/>
                            <a:gd name="T94" fmla="+- 0 16558 12618"/>
                            <a:gd name="T95" fmla="*/ 16558 h 4220"/>
                            <a:gd name="T96" fmla="*/ 4801 w 11544"/>
                            <a:gd name="T97" fmla="+- 0 16738 12618"/>
                            <a:gd name="T98" fmla="*/ 16738 h 4220"/>
                            <a:gd name="T99" fmla="*/ 8569 w 11544"/>
                            <a:gd name="T100" fmla="+- 0 16838 12618"/>
                            <a:gd name="T101" fmla="*/ 16838 h 4220"/>
                            <a:gd name="T102" fmla="*/ 8479 w 11544"/>
                            <a:gd name="T103" fmla="+- 0 16658 12618"/>
                            <a:gd name="T104" fmla="*/ 16658 h 4220"/>
                            <a:gd name="T105" fmla="*/ 8370 w 11544"/>
                            <a:gd name="T106" fmla="+- 0 16458 12618"/>
                            <a:gd name="T107" fmla="*/ 16458 h 4220"/>
                            <a:gd name="T108" fmla="*/ 8248 w 11544"/>
                            <a:gd name="T109" fmla="+- 0 16258 12618"/>
                            <a:gd name="T110" fmla="*/ 16258 h 4220"/>
                            <a:gd name="T111" fmla="*/ 8111 w 11544"/>
                            <a:gd name="T112" fmla="+- 0 16058 12618"/>
                            <a:gd name="T113" fmla="*/ 16058 h 4220"/>
                            <a:gd name="T114" fmla="*/ 9815 w 11544"/>
                            <a:gd name="T115" fmla="+- 0 15938 12618"/>
                            <a:gd name="T116" fmla="*/ 15938 h 4220"/>
                            <a:gd name="T117" fmla="*/ 9368 w 11544"/>
                            <a:gd name="T118" fmla="+- 0 15998 12618"/>
                            <a:gd name="T119" fmla="*/ 15998 h 4220"/>
                            <a:gd name="T120" fmla="*/ 9290 w 11544"/>
                            <a:gd name="T121" fmla="+- 0 16018 12618"/>
                            <a:gd name="T122" fmla="*/ 16018 h 4220"/>
                            <a:gd name="T123" fmla="*/ 8203 w 11544"/>
                            <a:gd name="T124" fmla="+- 0 15958 12618"/>
                            <a:gd name="T125" fmla="*/ 15958 h 4220"/>
                            <a:gd name="T126" fmla="*/ 8439 w 11544"/>
                            <a:gd name="T127" fmla="+- 0 15998 12618"/>
                            <a:gd name="T128" fmla="*/ 15998 h 4220"/>
                            <a:gd name="T129" fmla="*/ 9815 w 11544"/>
                            <a:gd name="T130" fmla="+- 0 15938 12618"/>
                            <a:gd name="T131" fmla="*/ 15938 h 4220"/>
                            <a:gd name="T132" fmla="*/ 9743 w 11544"/>
                            <a:gd name="T133" fmla="+- 0 15958 12618"/>
                            <a:gd name="T134" fmla="*/ 15958 h 4220"/>
                            <a:gd name="T135" fmla="*/ 10010 w 11544"/>
                            <a:gd name="T136" fmla="+- 0 12618 12618"/>
                            <a:gd name="T137" fmla="*/ 12618 h 4220"/>
                            <a:gd name="T138" fmla="*/ 9821 w 11544"/>
                            <a:gd name="T139" fmla="+- 0 12778 12618"/>
                            <a:gd name="T140" fmla="*/ 12778 h 4220"/>
                            <a:gd name="T141" fmla="*/ 9559 w 11544"/>
                            <a:gd name="T142" fmla="+- 0 12998 12618"/>
                            <a:gd name="T143" fmla="*/ 12998 h 4220"/>
                            <a:gd name="T144" fmla="*/ 8941 w 11544"/>
                            <a:gd name="T145" fmla="+- 0 13378 12618"/>
                            <a:gd name="T146" fmla="*/ 13378 h 4220"/>
                            <a:gd name="T147" fmla="*/ 8656 w 11544"/>
                            <a:gd name="T148" fmla="+- 0 13498 12618"/>
                            <a:gd name="T149" fmla="*/ 13498 h 4220"/>
                            <a:gd name="T150" fmla="*/ 8439 w 11544"/>
                            <a:gd name="T151" fmla="+- 0 13598 12618"/>
                            <a:gd name="T152" fmla="*/ 13598 h 4220"/>
                            <a:gd name="T153" fmla="*/ 7553 w 11544"/>
                            <a:gd name="T154" fmla="+- 0 13818 12618"/>
                            <a:gd name="T155" fmla="*/ 13818 h 4220"/>
                            <a:gd name="T156" fmla="*/ 10803 w 11544"/>
                            <a:gd name="T157" fmla="+- 0 13838 12618"/>
                            <a:gd name="T158" fmla="*/ 13838 h 4220"/>
                            <a:gd name="T159" fmla="*/ 1566 w 11544"/>
                            <a:gd name="T160" fmla="+- 0 13258 12618"/>
                            <a:gd name="T161" fmla="*/ 13258 h 4220"/>
                            <a:gd name="T162" fmla="*/ 4039 w 11544"/>
                            <a:gd name="T163" fmla="+- 0 13258 12618"/>
                            <a:gd name="T164" fmla="*/ 13258 h 4220"/>
                            <a:gd name="T165" fmla="*/ 1648 w 11544"/>
                            <a:gd name="T166" fmla="+- 0 13258 12618"/>
                            <a:gd name="T167" fmla="*/ 13258 h 4220"/>
                            <a:gd name="T168" fmla="*/ 3740 w 11544"/>
                            <a:gd name="T169" fmla="+- 0 13218 12618"/>
                            <a:gd name="T170" fmla="*/ 13218 h 4220"/>
                            <a:gd name="T171" fmla="*/ 3814 w 11544"/>
                            <a:gd name="T172" fmla="+- 0 13238 12618"/>
                            <a:gd name="T173" fmla="*/ 13238 h 4220"/>
                            <a:gd name="T174" fmla="*/ 2069 w 11544"/>
                            <a:gd name="T175" fmla="+- 0 13198 12618"/>
                            <a:gd name="T176" fmla="*/ 13198 h 4220"/>
                            <a:gd name="T177" fmla="*/ 3593 w 11544"/>
                            <a:gd name="T178" fmla="+- 0 13198 12618"/>
                            <a:gd name="T179" fmla="*/ 13198 h 4220"/>
                            <a:gd name="T180" fmla="*/ 2241 w 11544"/>
                            <a:gd name="T181" fmla="+- 0 13198 12618"/>
                            <a:gd name="T182" fmla="*/ 13198 h 422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  <a:cxn ang="0">
                              <a:pos x="T180" y="T182"/>
                            </a:cxn>
                          </a:cxnLst>
                          <a:rect l="0" t="0" r="r" b="b"/>
                          <a:pathLst>
                            <a:path w="11544" h="4220">
                              <a:moveTo>
                                <a:pt x="4192" y="660"/>
                              </a:moveTo>
                              <a:lnTo>
                                <a:pt x="1403" y="660"/>
                              </a:lnTo>
                              <a:lnTo>
                                <a:pt x="1164" y="720"/>
                              </a:lnTo>
                              <a:lnTo>
                                <a:pt x="1085" y="720"/>
                              </a:lnTo>
                              <a:lnTo>
                                <a:pt x="852" y="780"/>
                              </a:lnTo>
                              <a:lnTo>
                                <a:pt x="260" y="940"/>
                              </a:lnTo>
                              <a:lnTo>
                                <a:pt x="189" y="980"/>
                              </a:lnTo>
                              <a:lnTo>
                                <a:pt x="49" y="1020"/>
                              </a:lnTo>
                              <a:lnTo>
                                <a:pt x="0" y="1040"/>
                              </a:lnTo>
                              <a:lnTo>
                                <a:pt x="0" y="4220"/>
                              </a:lnTo>
                              <a:lnTo>
                                <a:pt x="855" y="4220"/>
                              </a:lnTo>
                              <a:lnTo>
                                <a:pt x="882" y="4180"/>
                              </a:lnTo>
                              <a:lnTo>
                                <a:pt x="913" y="4120"/>
                              </a:lnTo>
                              <a:lnTo>
                                <a:pt x="946" y="4060"/>
                              </a:lnTo>
                              <a:lnTo>
                                <a:pt x="981" y="4000"/>
                              </a:lnTo>
                              <a:lnTo>
                                <a:pt x="1017" y="3940"/>
                              </a:lnTo>
                              <a:lnTo>
                                <a:pt x="1055" y="3900"/>
                              </a:lnTo>
                              <a:lnTo>
                                <a:pt x="1096" y="3840"/>
                              </a:lnTo>
                              <a:lnTo>
                                <a:pt x="1138" y="3800"/>
                              </a:lnTo>
                              <a:lnTo>
                                <a:pt x="1182" y="3740"/>
                              </a:lnTo>
                              <a:lnTo>
                                <a:pt x="1227" y="3700"/>
                              </a:lnTo>
                              <a:lnTo>
                                <a:pt x="1275" y="3660"/>
                              </a:lnTo>
                              <a:lnTo>
                                <a:pt x="1324" y="3620"/>
                              </a:lnTo>
                              <a:lnTo>
                                <a:pt x="1376" y="3580"/>
                              </a:lnTo>
                              <a:lnTo>
                                <a:pt x="1429" y="3540"/>
                              </a:lnTo>
                              <a:lnTo>
                                <a:pt x="1483" y="3500"/>
                              </a:lnTo>
                              <a:lnTo>
                                <a:pt x="1540" y="3460"/>
                              </a:lnTo>
                              <a:lnTo>
                                <a:pt x="1598" y="3420"/>
                              </a:lnTo>
                              <a:lnTo>
                                <a:pt x="1658" y="3400"/>
                              </a:lnTo>
                              <a:lnTo>
                                <a:pt x="1720" y="3360"/>
                              </a:lnTo>
                              <a:lnTo>
                                <a:pt x="1848" y="3320"/>
                              </a:lnTo>
                              <a:lnTo>
                                <a:pt x="1915" y="3280"/>
                              </a:lnTo>
                              <a:lnTo>
                                <a:pt x="2054" y="3240"/>
                              </a:lnTo>
                              <a:lnTo>
                                <a:pt x="2126" y="3220"/>
                              </a:lnTo>
                              <a:lnTo>
                                <a:pt x="2200" y="3220"/>
                              </a:lnTo>
                              <a:lnTo>
                                <a:pt x="2352" y="3180"/>
                              </a:lnTo>
                              <a:lnTo>
                                <a:pt x="2430" y="3180"/>
                              </a:lnTo>
                              <a:lnTo>
                                <a:pt x="2510" y="3160"/>
                              </a:lnTo>
                              <a:lnTo>
                                <a:pt x="2675" y="3160"/>
                              </a:lnTo>
                              <a:lnTo>
                                <a:pt x="2760" y="3140"/>
                              </a:lnTo>
                              <a:lnTo>
                                <a:pt x="10373" y="3140"/>
                              </a:lnTo>
                              <a:lnTo>
                                <a:pt x="10440" y="3120"/>
                              </a:lnTo>
                              <a:lnTo>
                                <a:pt x="10507" y="3080"/>
                              </a:lnTo>
                              <a:lnTo>
                                <a:pt x="10573" y="3060"/>
                              </a:lnTo>
                              <a:lnTo>
                                <a:pt x="11094" y="2740"/>
                              </a:lnTo>
                              <a:lnTo>
                                <a:pt x="11158" y="2680"/>
                              </a:lnTo>
                              <a:lnTo>
                                <a:pt x="11223" y="2640"/>
                              </a:lnTo>
                              <a:lnTo>
                                <a:pt x="11351" y="2520"/>
                              </a:lnTo>
                              <a:lnTo>
                                <a:pt x="11415" y="2480"/>
                              </a:lnTo>
                              <a:lnTo>
                                <a:pt x="11544" y="2360"/>
                              </a:lnTo>
                              <a:lnTo>
                                <a:pt x="10803" y="1220"/>
                              </a:lnTo>
                              <a:lnTo>
                                <a:pt x="6914" y="1220"/>
                              </a:lnTo>
                              <a:lnTo>
                                <a:pt x="6849" y="1200"/>
                              </a:lnTo>
                              <a:lnTo>
                                <a:pt x="6715" y="1200"/>
                              </a:lnTo>
                              <a:lnTo>
                                <a:pt x="6646" y="1180"/>
                              </a:lnTo>
                              <a:lnTo>
                                <a:pt x="6576" y="1180"/>
                              </a:lnTo>
                              <a:lnTo>
                                <a:pt x="6505" y="1160"/>
                              </a:lnTo>
                              <a:lnTo>
                                <a:pt x="6432" y="1160"/>
                              </a:lnTo>
                              <a:lnTo>
                                <a:pt x="6202" y="1100"/>
                              </a:lnTo>
                              <a:lnTo>
                                <a:pt x="6121" y="1100"/>
                              </a:lnTo>
                              <a:lnTo>
                                <a:pt x="5953" y="1060"/>
                              </a:lnTo>
                              <a:lnTo>
                                <a:pt x="5774" y="1020"/>
                              </a:lnTo>
                              <a:lnTo>
                                <a:pt x="5680" y="980"/>
                              </a:lnTo>
                              <a:lnTo>
                                <a:pt x="5381" y="920"/>
                              </a:lnTo>
                              <a:lnTo>
                                <a:pt x="5287" y="900"/>
                              </a:lnTo>
                              <a:lnTo>
                                <a:pt x="5195" y="860"/>
                              </a:lnTo>
                              <a:lnTo>
                                <a:pt x="4840" y="780"/>
                              </a:lnTo>
                              <a:lnTo>
                                <a:pt x="4755" y="780"/>
                              </a:lnTo>
                              <a:lnTo>
                                <a:pt x="4427" y="700"/>
                              </a:lnTo>
                              <a:lnTo>
                                <a:pt x="4348" y="700"/>
                              </a:lnTo>
                              <a:lnTo>
                                <a:pt x="4192" y="660"/>
                              </a:lnTo>
                              <a:close/>
                              <a:moveTo>
                                <a:pt x="10373" y="3140"/>
                              </a:moveTo>
                              <a:lnTo>
                                <a:pt x="2933" y="3140"/>
                              </a:lnTo>
                              <a:lnTo>
                                <a:pt x="3018" y="3160"/>
                              </a:lnTo>
                              <a:lnTo>
                                <a:pt x="3184" y="3160"/>
                              </a:lnTo>
                              <a:lnTo>
                                <a:pt x="3264" y="3180"/>
                              </a:lnTo>
                              <a:lnTo>
                                <a:pt x="3343" y="3180"/>
                              </a:lnTo>
                              <a:lnTo>
                                <a:pt x="3496" y="3220"/>
                              </a:lnTo>
                              <a:lnTo>
                                <a:pt x="3570" y="3220"/>
                              </a:lnTo>
                              <a:lnTo>
                                <a:pt x="3783" y="3280"/>
                              </a:lnTo>
                              <a:lnTo>
                                <a:pt x="3850" y="3320"/>
                              </a:lnTo>
                              <a:lnTo>
                                <a:pt x="3980" y="3360"/>
                              </a:lnTo>
                              <a:lnTo>
                                <a:pt x="4043" y="3400"/>
                              </a:lnTo>
                              <a:lnTo>
                                <a:pt x="4104" y="3420"/>
                              </a:lnTo>
                              <a:lnTo>
                                <a:pt x="4163" y="3460"/>
                              </a:lnTo>
                              <a:lnTo>
                                <a:pt x="4220" y="3500"/>
                              </a:lnTo>
                              <a:lnTo>
                                <a:pt x="4276" y="3540"/>
                              </a:lnTo>
                              <a:lnTo>
                                <a:pt x="4329" y="3580"/>
                              </a:lnTo>
                              <a:lnTo>
                                <a:pt x="4381" y="3620"/>
                              </a:lnTo>
                              <a:lnTo>
                                <a:pt x="4432" y="3660"/>
                              </a:lnTo>
                              <a:lnTo>
                                <a:pt x="4480" y="3700"/>
                              </a:lnTo>
                              <a:lnTo>
                                <a:pt x="4527" y="3740"/>
                              </a:lnTo>
                              <a:lnTo>
                                <a:pt x="4571" y="3800"/>
                              </a:lnTo>
                              <a:lnTo>
                                <a:pt x="4614" y="3840"/>
                              </a:lnTo>
                              <a:lnTo>
                                <a:pt x="4655" y="3900"/>
                              </a:lnTo>
                              <a:lnTo>
                                <a:pt x="4694" y="3940"/>
                              </a:lnTo>
                              <a:lnTo>
                                <a:pt x="4732" y="4000"/>
                              </a:lnTo>
                              <a:lnTo>
                                <a:pt x="4767" y="4060"/>
                              </a:lnTo>
                              <a:lnTo>
                                <a:pt x="4801" y="4120"/>
                              </a:lnTo>
                              <a:lnTo>
                                <a:pt x="4832" y="4180"/>
                              </a:lnTo>
                              <a:lnTo>
                                <a:pt x="4860" y="4220"/>
                              </a:lnTo>
                              <a:lnTo>
                                <a:pt x="8569" y="4220"/>
                              </a:lnTo>
                              <a:lnTo>
                                <a:pt x="8543" y="4160"/>
                              </a:lnTo>
                              <a:lnTo>
                                <a:pt x="8511" y="4100"/>
                              </a:lnTo>
                              <a:lnTo>
                                <a:pt x="8479" y="4040"/>
                              </a:lnTo>
                              <a:lnTo>
                                <a:pt x="8444" y="3960"/>
                              </a:lnTo>
                              <a:lnTo>
                                <a:pt x="8408" y="3900"/>
                              </a:lnTo>
                              <a:lnTo>
                                <a:pt x="8370" y="3840"/>
                              </a:lnTo>
                              <a:lnTo>
                                <a:pt x="8331" y="3760"/>
                              </a:lnTo>
                              <a:lnTo>
                                <a:pt x="8290" y="3700"/>
                              </a:lnTo>
                              <a:lnTo>
                                <a:pt x="8248" y="3640"/>
                              </a:lnTo>
                              <a:lnTo>
                                <a:pt x="8204" y="3580"/>
                              </a:lnTo>
                              <a:lnTo>
                                <a:pt x="8158" y="3500"/>
                              </a:lnTo>
                              <a:lnTo>
                                <a:pt x="8111" y="3440"/>
                              </a:lnTo>
                              <a:lnTo>
                                <a:pt x="8062" y="3380"/>
                              </a:lnTo>
                              <a:lnTo>
                                <a:pt x="8011" y="3320"/>
                              </a:lnTo>
                              <a:lnTo>
                                <a:pt x="9815" y="3320"/>
                              </a:lnTo>
                              <a:lnTo>
                                <a:pt x="10305" y="3180"/>
                              </a:lnTo>
                              <a:lnTo>
                                <a:pt x="10373" y="3140"/>
                              </a:lnTo>
                              <a:close/>
                              <a:moveTo>
                                <a:pt x="9368" y="3380"/>
                              </a:moveTo>
                              <a:lnTo>
                                <a:pt x="8611" y="3380"/>
                              </a:lnTo>
                              <a:lnTo>
                                <a:pt x="8700" y="3400"/>
                              </a:lnTo>
                              <a:lnTo>
                                <a:pt x="9290" y="3400"/>
                              </a:lnTo>
                              <a:lnTo>
                                <a:pt x="9368" y="3380"/>
                              </a:lnTo>
                              <a:close/>
                              <a:moveTo>
                                <a:pt x="9669" y="3340"/>
                              </a:moveTo>
                              <a:lnTo>
                                <a:pt x="8203" y="3340"/>
                              </a:lnTo>
                              <a:lnTo>
                                <a:pt x="8278" y="3360"/>
                              </a:lnTo>
                              <a:lnTo>
                                <a:pt x="8357" y="3360"/>
                              </a:lnTo>
                              <a:lnTo>
                                <a:pt x="8439" y="3380"/>
                              </a:lnTo>
                              <a:lnTo>
                                <a:pt x="9520" y="3380"/>
                              </a:lnTo>
                              <a:lnTo>
                                <a:pt x="9669" y="3340"/>
                              </a:lnTo>
                              <a:close/>
                              <a:moveTo>
                                <a:pt x="9815" y="3320"/>
                              </a:moveTo>
                              <a:lnTo>
                                <a:pt x="8069" y="3320"/>
                              </a:lnTo>
                              <a:lnTo>
                                <a:pt x="8134" y="3340"/>
                              </a:lnTo>
                              <a:lnTo>
                                <a:pt x="9743" y="3340"/>
                              </a:lnTo>
                              <a:lnTo>
                                <a:pt x="9815" y="3320"/>
                              </a:lnTo>
                              <a:close/>
                              <a:moveTo>
                                <a:pt x="10010" y="0"/>
                              </a:moveTo>
                              <a:lnTo>
                                <a:pt x="10010" y="0"/>
                              </a:lnTo>
                              <a:lnTo>
                                <a:pt x="9948" y="60"/>
                              </a:lnTo>
                              <a:lnTo>
                                <a:pt x="9884" y="120"/>
                              </a:lnTo>
                              <a:lnTo>
                                <a:pt x="9821" y="160"/>
                              </a:lnTo>
                              <a:lnTo>
                                <a:pt x="9691" y="280"/>
                              </a:lnTo>
                              <a:lnTo>
                                <a:pt x="9626" y="320"/>
                              </a:lnTo>
                              <a:lnTo>
                                <a:pt x="9559" y="380"/>
                              </a:lnTo>
                              <a:lnTo>
                                <a:pt x="9358" y="500"/>
                              </a:lnTo>
                              <a:lnTo>
                                <a:pt x="9289" y="560"/>
                              </a:lnTo>
                              <a:lnTo>
                                <a:pt x="8941" y="760"/>
                              </a:lnTo>
                              <a:lnTo>
                                <a:pt x="8870" y="780"/>
                              </a:lnTo>
                              <a:lnTo>
                                <a:pt x="8728" y="860"/>
                              </a:lnTo>
                              <a:lnTo>
                                <a:pt x="8656" y="880"/>
                              </a:lnTo>
                              <a:lnTo>
                                <a:pt x="8584" y="920"/>
                              </a:lnTo>
                              <a:lnTo>
                                <a:pt x="8511" y="940"/>
                              </a:lnTo>
                              <a:lnTo>
                                <a:pt x="8439" y="980"/>
                              </a:lnTo>
                              <a:lnTo>
                                <a:pt x="7776" y="1160"/>
                              </a:lnTo>
                              <a:lnTo>
                                <a:pt x="7701" y="1160"/>
                              </a:lnTo>
                              <a:lnTo>
                                <a:pt x="7553" y="1200"/>
                              </a:lnTo>
                              <a:lnTo>
                                <a:pt x="7404" y="1200"/>
                              </a:lnTo>
                              <a:lnTo>
                                <a:pt x="7329" y="1220"/>
                              </a:lnTo>
                              <a:lnTo>
                                <a:pt x="10803" y="1220"/>
                              </a:lnTo>
                              <a:lnTo>
                                <a:pt x="10010" y="0"/>
                              </a:lnTo>
                              <a:close/>
                              <a:moveTo>
                                <a:pt x="4039" y="640"/>
                              </a:moveTo>
                              <a:lnTo>
                                <a:pt x="1566" y="640"/>
                              </a:lnTo>
                              <a:lnTo>
                                <a:pt x="1484" y="660"/>
                              </a:lnTo>
                              <a:lnTo>
                                <a:pt x="4115" y="660"/>
                              </a:lnTo>
                              <a:lnTo>
                                <a:pt x="4039" y="640"/>
                              </a:lnTo>
                              <a:close/>
                              <a:moveTo>
                                <a:pt x="3889" y="620"/>
                              </a:moveTo>
                              <a:lnTo>
                                <a:pt x="1731" y="620"/>
                              </a:lnTo>
                              <a:lnTo>
                                <a:pt x="1648" y="640"/>
                              </a:lnTo>
                              <a:lnTo>
                                <a:pt x="3964" y="640"/>
                              </a:lnTo>
                              <a:lnTo>
                                <a:pt x="3889" y="620"/>
                              </a:lnTo>
                              <a:close/>
                              <a:moveTo>
                                <a:pt x="3740" y="600"/>
                              </a:moveTo>
                              <a:lnTo>
                                <a:pt x="1899" y="600"/>
                              </a:lnTo>
                              <a:lnTo>
                                <a:pt x="1815" y="620"/>
                              </a:lnTo>
                              <a:lnTo>
                                <a:pt x="3814" y="620"/>
                              </a:lnTo>
                              <a:lnTo>
                                <a:pt x="3740" y="600"/>
                              </a:lnTo>
                              <a:close/>
                              <a:moveTo>
                                <a:pt x="3593" y="580"/>
                              </a:moveTo>
                              <a:lnTo>
                                <a:pt x="2069" y="580"/>
                              </a:lnTo>
                              <a:lnTo>
                                <a:pt x="1984" y="600"/>
                              </a:lnTo>
                              <a:lnTo>
                                <a:pt x="3667" y="600"/>
                              </a:lnTo>
                              <a:lnTo>
                                <a:pt x="3593" y="580"/>
                              </a:lnTo>
                              <a:close/>
                              <a:moveTo>
                                <a:pt x="3302" y="560"/>
                              </a:moveTo>
                              <a:lnTo>
                                <a:pt x="2328" y="560"/>
                              </a:lnTo>
                              <a:lnTo>
                                <a:pt x="2241" y="580"/>
                              </a:lnTo>
                              <a:lnTo>
                                <a:pt x="3375" y="580"/>
                              </a:lnTo>
                              <a:lnTo>
                                <a:pt x="3302" y="5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77BD">
                            <a:alpha val="6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ED010AE" id="AutoShape 5" o:spid="_x0000_s1026" style="position:absolute;margin-left:1.8pt;margin-top:629.55pt;width:577.2pt;height:211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544,4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p1E1Q4AAC5MAAAOAAAAZHJzL2Uyb0RvYy54bWysXG1v28gR/l6g/0HQxxYXc7lLcmnEObQX&#10;XFHg+gJc+gMUWY6NyqIqKXFyv74zszNL0tFwFkW/hHb0cJ+defZldnastz9+fd6vvuxO56fhcLd2&#10;b6r1anfYDvdPh0936399+PmHuF6dL5vD/WY/HHZ362+78/rHd7//3duX4+2uHh6H/f3utIJGDufb&#10;l+Pd+vFyOd7e3Jy3j7vnzfnNcNwd4MOH4fS8ucCvp08396fNC7T+vL+pq6q9eRlO98fTsN2dz/C/&#10;79OH63fU/sPDbnv5x8PDeXdZ7e/W0LcL/Xuifz/ivzfv3m5uP502x8enLXdj8z/04nnzdADS3NT7&#10;zWWz+nx6+q6p56ftaTgPD5c32+H5Znh4eNruyAawxlWvrPn1cXPckS3gnPMxu+n8/2t2+/cvvx7/&#10;ecKun4+/DNt/n8EjNy/H823+BH85A2b18eVvwz1ouPl8GcjYrw+nZ3wTzFh9JZ9+yz7dfb2stvCf&#10;nfdVCOD6LXxWt13fVeT1m82tvL79fL78ZTdQU5svv5wvSZR7+Ilcer86bJ6B9wO08vC8B33+cLNy&#10;rg2rF3g0IbCKGecE98cfVtXKee/jytWti6+BtQCxQYI9rkJdy7DIDfoJrm4rjTcIjHmbRuFtBEi8&#10;CLvO205wKmsnIGZtNVaYiqP7PMKus/YTXIy1Zq3LciRi0FYx12VB0F7CXWd2U0H66FTqLAhTg7bX&#10;FXZZE6JGnEI906TqW5U7i8LcQfO3y8oQN+IU7pkydd2p3Fka5vaa3TCGJ2K3iLvOXc+08Z1qd521&#10;YW6nyV1ndchuxCncM3GaoA7xOovD3FWn6F1ndYgbcQr3TJyu1rmzOIm76VXurA5yE+46t5+KU1eN&#10;upD5LA5zR22s+awOcSNO4Z6KU/tGnd4+i8Pc6vT2WR3iRpzCPRUH9oJGG+c+iyPcms99Vidxq3r7&#10;mTi4JWnkuFmldVLIte0jZHkSOeCuGx5m6riqVxUPWR4m95risO1NZniDOIV8Jo/zjbqshqwPkzvV&#10;8iwQWY44hXymTxUrr7o9C5TIfdTImywQkhPuOnkz1aftnDremqyPcGvrapP1SdzqutpM5WmbSufO&#10;8jB3p431JstD3IhT7J6q07paFbzJ6gi3andWJ3GrdrdTcZo2qtOszeIwd6PtJ21Wh7gRd93udipO&#10;43rV520Wh7mD5vM2q0PciFO4p+KEUKt7eJvFYW51D2+zOsSt7+HtTJzKd+ok67I6ibzptOWly/Ig&#10;OeGuG95N1YE+qktbl9URbs3pXZYncatO76bq+KAHbV1Wh7nVxaXL8hA34hS7p+r42KgDvcvqMHev&#10;LWwxq0PciLvOHafiBFepPo9ZnMTdVip3Vge5CadwT8WBca4GjDGLw9xOG2sxq0PciFO4p+KE4NXg&#10;JWZxmLvWxlrM6hA34q5z91NxQtOpi2qfxWHuoC2qfVaHuBGncE/FCa0ePvRZHOZWj6B9Voe49TNo&#10;PxUnxEq3O4vD3J021vqsDnEjTrF7Kk5s2l4LHhwkFWZBW6tOcFdlfYhdn+GumuoTQ7dAnwVi29VD&#10;OExW6SnR68dwV00lir5TVxhXZY1kyGlTzVVZJaJfOJRWU5ViHaLu/CwT09cq/Zg0IHoEXpfezZIG&#10;EX5V6cesAdNXOn3WiegRqNFPZYJUhBpLQAZKBE30jbq+Q85KoEhPQI1+KlPvW935kNWajfym1+Io&#10;57JOiV4NpNwsfdDXvT70xvyBOF9b7dyYQUjOV5c7N8sgxFo/NLg6yyTOV7UfkwjJel37WRIhBq/P&#10;+zrLJPSq8+usk+n8qUyLQ29MJAi9tuS6MZWQ6NU1181SCX0X1GASMqavh57q/DGbYDl/nk2oICuu&#10;Tnyfp1MyH1O8ShpwzCggPwGVmTfLKPRRPzy5MaXA9OrJzY05BaLXj25ullPom0Yfe2NSgen1iT9m&#10;FYgegYr1s6xC7IO+6oZXy573WojlxrwC0hNQo8/zCZCxbdTg0oU8nZL1EP1r2ofpfHIEVOhnmYXF&#10;iT+mFphePb26MblA1uvHVzdLLnRNo8+8MbvA9FEd+U3WiegRqFmfpxMil3I1cB6cz3w9WQPBvEAT&#10;v77wNDOdmlYXf0wysPl6wDGmGYh+IeCYpRlCtbDqj3kGmz7vTyb9TKd2Idxqs042fdbJpJ/K5Ds9&#10;PerGbIPQq2NvTDcken3szdINPjr1ROvGfIPQq3vemHFI9PrQm2Uc6mrhoDGmHJhevQZxY9KB6PV7&#10;EDdLOniIC9Utr8sy2fSz6eQX6Gd5h7peWPTHxINJP6YerlgPt7+f5H538yhXvtuvB77zhZ9WGywh&#10;qOii+Tic8YIZL4DhFvlDjfe40ASg8IJYAUNwguCmCAxTCsF0Q2y2DI5FMJxQSvqBxxOC0z212Tge&#10;JwjelbUOAwLh6dLabB3DdYL7otYxvCZ4WwaH5YbgfREcw1eEQ8RZ4kgMNwleJilGhwQvExWjOYRD&#10;AFbSGYy+CF6mKkZLBC9TFaMbhENAUtIZjEYIXqYqRg8EL1MVN3uCl6mKmzPCYT8t6TtupgQvUxU3&#10;P4KXqYqbFcJhfynpDG4uBC9TFTcDgpepios3wmG9LekMLrYEL1M1sqqQTS1qnVWFBGgJHNOf2BnI&#10;WRbBWVVIMxbBWVXIDBbBZQWGXF4JnjJ52HvMvpW9IKsw5MvKXmBtHWS4il7A/BZ1yZXJ67CUJb1Q&#10;JrDD+pP0QpnElPWhFyBTU2QD5mnSC2Uyw8FbXigT2tWiNOQvirqE2QvqEmQcyl4QpSFFUPaCKA2H&#10;+qIX8EhPXYJjeNkLojQcnMteEKXhqFv0Ah50qUtwOC17QZSG42TZC6I0nP/KXhCl4cRW9AKe18gG&#10;uM0te0GUhivYshdEaTjHFL2ApxjqEpw8yl4QpeGsUPaCKA23ikUvYGxPXYJ4fPJCChQ52j5Bmezr&#10;AtnTegUFsh/xnc3tcXPBIF1+XL1AqS8VXq4e79ZUMIkfPQ9fdh8GAl0wXA8OL7iAvIWQIHGPkP1h&#10;CoUEWRpgI1QA8jxSm1j2SW1CxRa3KQB5MrDC+0cgt4AR8zOIy7uyNCTP1CDUfRKuz9NePpcnE+ON&#10;IrTXG+1hVgpgsDUtG5JYYeMqgUnxKsgrvZJn6l3EdBDQ2kA8vyHQGXb0sH8loGFIj2lAbLHKw0H6&#10;Js/UR0h5MzCXCgtAnuzqirc4b4pSsd2+N9vEC0/opo+Gxx2UHjHSatOxMzGvsjxqofgztTmWSYvN&#10;8mTbaw4+vTllPJ/ifGso5KD8M7E3hugu8MbsoWpz2aIQ0/jwjeUlbIo8H4wBAjdn7PlgWQTXq9ym&#10;xY7rBLF7iz3y6cx7i73nw7yvDX9iEWhirw1/1hJDea5TV6c6fM4WmUgoA03s1mSvA5/ZodBnWfe6&#10;watenEdQTLI4QrAQtBDZQVOpTcNLDougSqH05wnUU0vPqsHrc4RCdnzRKLi8lw5Yyx2cGLBsA1qt&#10;zeUBdt00nmuorFvuAFy3Jg/UreUsrAlNHWgsD8D9VBIL6gGsDuBfZpBZ5ozCuwaCQqeXW217PgbZ&#10;yCg7LM6DFH7IEirPtJRiZSizW8iW9zBnDf+24aW0AIl1HqA+hDZGP6HgqRBZY+kKtWlZBNWhZcim&#10;x+spbNMa0E2H6XRCGmpifSghrWCpgSuBBLRarGOaodY+j+Wh1GI0vB4wDkBrrAAxwI1dGRCq5hLQ&#10;ECd43mmsYOBKpC1DfLsfzjsK4sfYW6KnK2vkCJIGErjuOfvq8S57aTb5CitSwF/mwo/FooVIWMMY&#10;aaw63uNdN7FbSCgXTUhrzfEN3mNhmyayk2DH2vCxYDS1aQURHucGsVvLaKjE9mANLKpCQ4usACo4&#10;zs96KyijEwX10wr0sGg0WWQFj7DgpVMS/HXD8qgLskCYQS6WjSZ2K3AOuMWRReb8a3LYbswOLBxN&#10;bUZLo5Z3OvMgEtrSww2WjiZ268AUOvYSDCXD8x1WtMNYMs91WDyakJhpXFpD4MyQNDJPnwGXb2K3&#10;5iaWj5YieR7B4F/uZ2w4iws12AYSqkfZS8YIiYHDJt9b7AFLNHEWW5sdFo8mpHWojR4LxbBNjLWX&#10;NIpQFchIy3aIFRPSikSh1I/HpzXfoSCT27RWGywdTewY5y9aVHFKEf5e2EJKm9bqjeV7id1CwpGF&#10;A0HzbLV4utE3fCwj5b5k+7T9PrbZwoyViECeKTKIuDjSiLF2HawjLURe6amwLtjX8gyHIED0U+2D&#10;olL2RcYKgzzZPviTAEZaMwIChUIk1JQy0vBujycy8q41Jvsr1oslCz67Mj5Vn0FdDPfFWL8jVNkx&#10;0vAu1pcWIq/01LYP1mXOQ1gj4nuktC7PNB76nlczYzT0kaNba7PDGlNygbXb9HD4JaAVXPYt37NZ&#10;aw7WlybvW8MQAjACWqttX3P6uzHcg7Wl1KK5z8ACk4BGH2OHJdawdVknOqwrTUCrxYYl7K3xLnGA&#10;FVZhTSlRWwfersv5A8ORXcdRlZk/wIpSIocRKbNBxrY80xiHPFSavzZSInQzH0MFpUxvuFOfivpC&#10;hgWb1PoYY2jrmIPS0ldQMV+eyQ1QZJzcYJ4U6I9AYOiZwO97KZS6aT7ynBrz96ppHYdvI1Talyeb&#10;BgWmRT6AKJR9YKzkV3oplAumYcYT52ybR6RqWuxZ4AyV9uXJpslGYfkAy0wTuTEe6dpm3kuhXDAN&#10;yjip9TGU1UzDgtNXUGlfnmxaLwPS8AFcCqVQZPSrtCTP1CIWmyrUC6Z5Ti+Oi7xqGlx9pPaNZQzL&#10;TpWOvOqx5+uC0a8CkCeb9n0vBSCmwd0JXm1TMWm+48ar8ck3Ep2H/dP9z0/7PV5sn0+fPv60P62+&#10;bOD7pOqq6/78ngpUN/vj4yb9L3hcFldGU/OzZvZUt3oYsFk5kfDXLuE3LeG3V51vPw733+Bbl05D&#10;+tIq+JIt+OFxOP22Xr3AF1bdrc//+bw57dar/V8P8I1QkBjHuXShXyDNAGN6dZp+8nH6yeawhabu&#10;1pc11Nnijz9d0rdifT6enj49ApMjww7Dn+Dbnh6e8DuZ6GuhUq/4F/hSKjKOv0ALv/Vq+juhxq/5&#10;evdfAAAA//8DAFBLAwQUAAYACAAAACEAbxJ7meEAAAAMAQAADwAAAGRycy9kb3ducmV2LnhtbEyP&#10;zU7DMBCE70i8g7VI3KjjooQQ4lT8FC6VQG0QZyde4kBsR7Hbhrdne4Lb7s5o9ptyNduBHXAKvXcS&#10;xCIBhq71unedhPf6+SoHFqJyWg3eoYQfDLCqzs9KVWh/dFs87GLHKMSFQkkwMY4F56E1aFVY+BEd&#10;aZ9+sirSOnVcT+pI4XbgyyTJuFW9ow9GjfhosP3e7a2E14/U37xw85bN681X87Cut/lTLeXlxXx/&#10;ByziHP/McMIndKiIqfF7pwMbJFxnZKTzMr0VwE4GkebUrqEpy4UAXpX8f4nqFwAA//8DAFBLAQIt&#10;ABQABgAIAAAAIQC2gziS/gAAAOEBAAATAAAAAAAAAAAAAAAAAAAAAABbQ29udGVudF9UeXBlc10u&#10;eG1sUEsBAi0AFAAGAAgAAAAhADj9If/WAAAAlAEAAAsAAAAAAAAAAAAAAAAALwEAAF9yZWxzLy5y&#10;ZWxzUEsBAi0AFAAGAAgAAAAhABH2nUTVDgAALkwAAA4AAAAAAAAAAAAAAAAALgIAAGRycy9lMm9E&#10;b2MueG1sUEsBAi0AFAAGAAgAAAAhAG8Se5nhAAAADAEAAA8AAAAAAAAAAAAAAAAALxEAAGRycy9k&#10;b3ducmV2LnhtbFBLBQYAAAAABAAEAPMAAAA9EgAAAAA=&#10;" path="m4192,660r-2789,l1164,720r-79,l852,780,260,940r-71,40l49,1020,,1040,,4220r855,l882,4180r31,-60l946,4060r35,-60l1017,3940r38,-40l1096,3840r42,-40l1182,3740r45,-40l1275,3660r49,-40l1376,3580r53,-40l1483,3500r57,-40l1598,3420r60,-20l1720,3360r128,-40l1915,3280r139,-40l2126,3220r74,l2352,3180r78,l2510,3160r165,l2760,3140r7613,l10440,3120r67,-40l10573,3060r521,-320l11158,2680r65,-40l11351,2520r64,-40l11544,2360,10803,1220r-3889,l6849,1200r-134,l6646,1180r-70,l6505,1160r-73,l6202,1100r-81,l5953,1060r-179,-40l5680,980,5381,920r-94,-20l5195,860,4840,780r-85,l4427,700r-79,l4192,660xm10373,3140r-7440,l3018,3160r166,l3264,3180r79,l3496,3220r74,l3783,3280r67,40l3980,3360r63,40l4104,3420r59,40l4220,3500r56,40l4329,3580r52,40l4432,3660r48,40l4527,3740r44,60l4614,3840r41,60l4694,3940r38,60l4767,4060r34,60l4832,4180r28,40l8569,4220r-26,-60l8511,4100r-32,-60l8444,3960r-36,-60l8370,3840r-39,-80l8290,3700r-42,-60l8204,3580r-46,-80l8111,3440r-49,-60l8011,3320r1804,l10305,3180r68,-40xm9368,3380r-757,l8700,3400r590,l9368,3380xm9669,3340r-1466,l8278,3360r79,l8439,3380r1081,l9669,3340xm9815,3320r-1746,l8134,3340r1609,l9815,3320xm10010,r,l9948,60r-64,60l9821,160,9691,280r-65,40l9559,380,9358,500r-69,60l8941,760r-71,20l8728,860r-72,20l8584,920r-73,20l8439,980r-663,180l7701,1160r-148,40l7404,1200r-75,20l10803,1220,10010,xm4039,640r-2473,l1484,660r2631,l4039,640xm3889,620r-2158,l1648,640r2316,l3889,620xm3740,600r-1841,l1815,620r1999,l3740,600xm3593,580r-1524,l1984,600r1683,l3593,580xm3302,560r-974,l2241,580r1134,l3302,560xe" fillcolor="#2077bd" stroked="f">
                <v:fill opacity="3855f"/>
                <v:path arrowok="t" o:connecttype="custom" o:connectlocs="739140,8469630;165100,8609330;0,8672830;560070,10666730;622935,10552430;695960,10450830;779145,10361930;873760,10285730;977900,10209530;1092200,10146030;1304290,10069830;1493520,10031730;1698625,10019030;6629400,9993630;7044690,9752330;7207885,9612630;6859905,8787130;4264025,8774430;4130675,8749030;3886835,8710930;3606800,8634730;3298825,8558530;2811145,8456930;6586855,10006330;2021840,10019030;2219960,10057130;2444750,10120630;2606040,10184130;2715260,10260330;2814320,10336530;2902585,10425430;2980690,10514330;3048635,10628630;5441315,10692130;5384165,10577830;5314950,10450830;5237480,10323830;5150485,10196830;6232525,10120630;5948680,10158730;5899150,10171430;5208905,10133330;5358765,10158730;6232525,10120630;6186805,10133330;6356350,8012430;6236335,8114030;6069965,8253730;5677535,8495030;5496560,8571230;5358765,8634730;4796155,8774430;6859905,8787130;994410,8418830;2564765,8418830;1046480,8418830;2374900,8393430;2421890,8406130;1313815,8380730;2281555,8380730;1423035,8380730" o:connectangles="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sectPr w:rsidR="00DD0237" w:rsidRPr="004175CA">
      <w:headerReference w:type="defaul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B4F50" w14:textId="77777777" w:rsidR="00241E24" w:rsidRDefault="00241E24" w:rsidP="008C66C1">
      <w:pPr>
        <w:spacing w:after="0" w:line="240" w:lineRule="auto"/>
      </w:pPr>
      <w:r>
        <w:separator/>
      </w:r>
    </w:p>
  </w:endnote>
  <w:endnote w:type="continuationSeparator" w:id="0">
    <w:p w14:paraId="17B4BA57" w14:textId="77777777" w:rsidR="00241E24" w:rsidRDefault="00241E24" w:rsidP="008C6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isby">
    <w:altName w:val="Cambria"/>
    <w:panose1 w:val="00000000000000000000"/>
    <w:charset w:val="00"/>
    <w:family w:val="auto"/>
    <w:notTrueType/>
    <w:pitch w:val="variable"/>
    <w:sig w:usb0="A00002EF" w:usb1="5000205A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Baghdad">
    <w:altName w:val="Arial"/>
    <w:charset w:val="B2"/>
    <w:family w:val="auto"/>
    <w:pitch w:val="variable"/>
    <w:sig w:usb0="80002003" w:usb1="80000000" w:usb2="00000008" w:usb3="00000000" w:csb0="00000040" w:csb1="00000000"/>
  </w:font>
  <w:font w:name="Visby Semibold">
    <w:altName w:val="Calibri"/>
    <w:panose1 w:val="00000000000000000000"/>
    <w:charset w:val="00"/>
    <w:family w:val="auto"/>
    <w:notTrueType/>
    <w:pitch w:val="variable"/>
    <w:sig w:usb0="A00002EF" w:usb1="5000205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62DB1" w14:textId="77777777" w:rsidR="00241E24" w:rsidRDefault="00241E24" w:rsidP="008C66C1">
      <w:pPr>
        <w:spacing w:after="0" w:line="240" w:lineRule="auto"/>
      </w:pPr>
      <w:r>
        <w:separator/>
      </w:r>
    </w:p>
  </w:footnote>
  <w:footnote w:type="continuationSeparator" w:id="0">
    <w:p w14:paraId="71CF0959" w14:textId="77777777" w:rsidR="00241E24" w:rsidRDefault="00241E24" w:rsidP="008C6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2C72" w14:textId="36962924" w:rsidR="00C70CDF" w:rsidRDefault="00C70CDF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B50978" wp14:editId="1F3D4BF7">
          <wp:simplePos x="0" y="0"/>
          <wp:positionH relativeFrom="column">
            <wp:posOffset>3593465</wp:posOffset>
          </wp:positionH>
          <wp:positionV relativeFrom="paragraph">
            <wp:posOffset>-106680</wp:posOffset>
          </wp:positionV>
          <wp:extent cx="2087880" cy="423545"/>
          <wp:effectExtent l="0" t="0" r="0" b="0"/>
          <wp:wrapTight wrapText="bothSides">
            <wp:wrapPolygon edited="0">
              <wp:start x="8869" y="972"/>
              <wp:lineTo x="985" y="4858"/>
              <wp:lineTo x="394" y="10687"/>
              <wp:lineTo x="788" y="19430"/>
              <wp:lineTo x="2562" y="19430"/>
              <wp:lineTo x="20891" y="17487"/>
              <wp:lineTo x="21285" y="3886"/>
              <wp:lineTo x="12219" y="972"/>
              <wp:lineTo x="8869" y="972"/>
            </wp:wrapPolygon>
          </wp:wrapTight>
          <wp:docPr id="2093070844" name="Imagen 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070844" name="Imagen 1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7880" cy="423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A879F9"/>
    <w:multiLevelType w:val="hybridMultilevel"/>
    <w:tmpl w:val="4AFAD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D59A3"/>
    <w:multiLevelType w:val="hybridMultilevel"/>
    <w:tmpl w:val="FC20DF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95CB0"/>
    <w:multiLevelType w:val="hybridMultilevel"/>
    <w:tmpl w:val="0D167A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72EFD"/>
    <w:multiLevelType w:val="multilevel"/>
    <w:tmpl w:val="A2F4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3151753">
    <w:abstractNumId w:val="2"/>
  </w:num>
  <w:num w:numId="2" w16cid:durableId="1091006964">
    <w:abstractNumId w:val="4"/>
  </w:num>
  <w:num w:numId="3" w16cid:durableId="557328277">
    <w:abstractNumId w:val="0"/>
  </w:num>
  <w:num w:numId="4" w16cid:durableId="37046925">
    <w:abstractNumId w:val="3"/>
  </w:num>
  <w:num w:numId="5" w16cid:durableId="1988705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65"/>
    <w:rsid w:val="00003CB2"/>
    <w:rsid w:val="000263A7"/>
    <w:rsid w:val="0005368A"/>
    <w:rsid w:val="000556B8"/>
    <w:rsid w:val="00075E18"/>
    <w:rsid w:val="00075EE9"/>
    <w:rsid w:val="000B01A0"/>
    <w:rsid w:val="000B12DF"/>
    <w:rsid w:val="000C1953"/>
    <w:rsid w:val="000C6B56"/>
    <w:rsid w:val="000D291A"/>
    <w:rsid w:val="000D6AD6"/>
    <w:rsid w:val="000E2731"/>
    <w:rsid w:val="000E2B11"/>
    <w:rsid w:val="000E4F26"/>
    <w:rsid w:val="000F1E00"/>
    <w:rsid w:val="000F21DA"/>
    <w:rsid w:val="000F572D"/>
    <w:rsid w:val="000F5C6F"/>
    <w:rsid w:val="00104205"/>
    <w:rsid w:val="00104F1B"/>
    <w:rsid w:val="0011612E"/>
    <w:rsid w:val="0012645E"/>
    <w:rsid w:val="00142AB0"/>
    <w:rsid w:val="00143052"/>
    <w:rsid w:val="001552E4"/>
    <w:rsid w:val="00157F0D"/>
    <w:rsid w:val="00162774"/>
    <w:rsid w:val="001855BB"/>
    <w:rsid w:val="0019380D"/>
    <w:rsid w:val="00196337"/>
    <w:rsid w:val="0019668D"/>
    <w:rsid w:val="001A25E6"/>
    <w:rsid w:val="001B19C1"/>
    <w:rsid w:val="001F10F5"/>
    <w:rsid w:val="001F1EFA"/>
    <w:rsid w:val="00207C9E"/>
    <w:rsid w:val="00211CFD"/>
    <w:rsid w:val="00213E72"/>
    <w:rsid w:val="002146AF"/>
    <w:rsid w:val="00222727"/>
    <w:rsid w:val="00234C59"/>
    <w:rsid w:val="00241E24"/>
    <w:rsid w:val="00263D51"/>
    <w:rsid w:val="00273373"/>
    <w:rsid w:val="00273418"/>
    <w:rsid w:val="00274BAE"/>
    <w:rsid w:val="0028517A"/>
    <w:rsid w:val="002D3544"/>
    <w:rsid w:val="002D4B7B"/>
    <w:rsid w:val="002F15DE"/>
    <w:rsid w:val="00301B5B"/>
    <w:rsid w:val="00313753"/>
    <w:rsid w:val="00317799"/>
    <w:rsid w:val="00322380"/>
    <w:rsid w:val="00323595"/>
    <w:rsid w:val="003262CA"/>
    <w:rsid w:val="00335A45"/>
    <w:rsid w:val="0036275F"/>
    <w:rsid w:val="003833B1"/>
    <w:rsid w:val="00383D74"/>
    <w:rsid w:val="003919F8"/>
    <w:rsid w:val="00392088"/>
    <w:rsid w:val="00394889"/>
    <w:rsid w:val="00397985"/>
    <w:rsid w:val="003A3078"/>
    <w:rsid w:val="003B4EE6"/>
    <w:rsid w:val="003C151F"/>
    <w:rsid w:val="003C4C89"/>
    <w:rsid w:val="003D7691"/>
    <w:rsid w:val="003F47E8"/>
    <w:rsid w:val="00401B2E"/>
    <w:rsid w:val="004175CA"/>
    <w:rsid w:val="00420F7B"/>
    <w:rsid w:val="0042194F"/>
    <w:rsid w:val="004456C1"/>
    <w:rsid w:val="0045336D"/>
    <w:rsid w:val="00466721"/>
    <w:rsid w:val="00482474"/>
    <w:rsid w:val="00493E87"/>
    <w:rsid w:val="004A7C2F"/>
    <w:rsid w:val="004C7DC1"/>
    <w:rsid w:val="00502FCC"/>
    <w:rsid w:val="00503439"/>
    <w:rsid w:val="00526EBD"/>
    <w:rsid w:val="005330D5"/>
    <w:rsid w:val="00534348"/>
    <w:rsid w:val="00540BA8"/>
    <w:rsid w:val="00542626"/>
    <w:rsid w:val="00544B5C"/>
    <w:rsid w:val="00550218"/>
    <w:rsid w:val="005519AD"/>
    <w:rsid w:val="00554C17"/>
    <w:rsid w:val="00595196"/>
    <w:rsid w:val="005C4139"/>
    <w:rsid w:val="005C6500"/>
    <w:rsid w:val="005C77CC"/>
    <w:rsid w:val="005D64A2"/>
    <w:rsid w:val="005D79F6"/>
    <w:rsid w:val="005E3554"/>
    <w:rsid w:val="005F3B4D"/>
    <w:rsid w:val="005F65C7"/>
    <w:rsid w:val="00612087"/>
    <w:rsid w:val="0061379E"/>
    <w:rsid w:val="00625E55"/>
    <w:rsid w:val="0064412D"/>
    <w:rsid w:val="0065628D"/>
    <w:rsid w:val="00665096"/>
    <w:rsid w:val="00680ACE"/>
    <w:rsid w:val="0068138A"/>
    <w:rsid w:val="00686D72"/>
    <w:rsid w:val="0069613A"/>
    <w:rsid w:val="006D370C"/>
    <w:rsid w:val="006E5D43"/>
    <w:rsid w:val="006E71F2"/>
    <w:rsid w:val="00707319"/>
    <w:rsid w:val="00716708"/>
    <w:rsid w:val="007476AA"/>
    <w:rsid w:val="00760BB6"/>
    <w:rsid w:val="00761281"/>
    <w:rsid w:val="00763899"/>
    <w:rsid w:val="007814C3"/>
    <w:rsid w:val="0078549D"/>
    <w:rsid w:val="00796837"/>
    <w:rsid w:val="007B0E55"/>
    <w:rsid w:val="007C69A3"/>
    <w:rsid w:val="007D0A47"/>
    <w:rsid w:val="007D145E"/>
    <w:rsid w:val="007D4DD0"/>
    <w:rsid w:val="007D71FC"/>
    <w:rsid w:val="007E2C89"/>
    <w:rsid w:val="007E33E3"/>
    <w:rsid w:val="008050B8"/>
    <w:rsid w:val="00842C72"/>
    <w:rsid w:val="00843C08"/>
    <w:rsid w:val="008517D1"/>
    <w:rsid w:val="0085501B"/>
    <w:rsid w:val="008563CF"/>
    <w:rsid w:val="00874209"/>
    <w:rsid w:val="0087759F"/>
    <w:rsid w:val="00892591"/>
    <w:rsid w:val="00892593"/>
    <w:rsid w:val="008976ED"/>
    <w:rsid w:val="008B7ADA"/>
    <w:rsid w:val="008C66C1"/>
    <w:rsid w:val="008D5881"/>
    <w:rsid w:val="008D7403"/>
    <w:rsid w:val="00905055"/>
    <w:rsid w:val="009250C9"/>
    <w:rsid w:val="00935597"/>
    <w:rsid w:val="00935C90"/>
    <w:rsid w:val="0094312A"/>
    <w:rsid w:val="009473D5"/>
    <w:rsid w:val="009504C8"/>
    <w:rsid w:val="009514CB"/>
    <w:rsid w:val="00994A1D"/>
    <w:rsid w:val="009A2B8C"/>
    <w:rsid w:val="009A62C6"/>
    <w:rsid w:val="009E4FA7"/>
    <w:rsid w:val="009E77F7"/>
    <w:rsid w:val="009F1C64"/>
    <w:rsid w:val="00A14D68"/>
    <w:rsid w:val="00A3628F"/>
    <w:rsid w:val="00A36C1B"/>
    <w:rsid w:val="00A467C3"/>
    <w:rsid w:val="00A515DA"/>
    <w:rsid w:val="00A61314"/>
    <w:rsid w:val="00A62365"/>
    <w:rsid w:val="00A641BE"/>
    <w:rsid w:val="00A7467B"/>
    <w:rsid w:val="00A90C11"/>
    <w:rsid w:val="00A926E4"/>
    <w:rsid w:val="00AA166E"/>
    <w:rsid w:val="00AB68EF"/>
    <w:rsid w:val="00AC3125"/>
    <w:rsid w:val="00AD51E7"/>
    <w:rsid w:val="00B0014E"/>
    <w:rsid w:val="00B260AE"/>
    <w:rsid w:val="00B364AE"/>
    <w:rsid w:val="00B77E35"/>
    <w:rsid w:val="00B97437"/>
    <w:rsid w:val="00BA353E"/>
    <w:rsid w:val="00BB18BA"/>
    <w:rsid w:val="00BC71BC"/>
    <w:rsid w:val="00BD059A"/>
    <w:rsid w:val="00BD6720"/>
    <w:rsid w:val="00BE0891"/>
    <w:rsid w:val="00BE43FF"/>
    <w:rsid w:val="00BF381D"/>
    <w:rsid w:val="00C0747B"/>
    <w:rsid w:val="00C13B09"/>
    <w:rsid w:val="00C26827"/>
    <w:rsid w:val="00C3098E"/>
    <w:rsid w:val="00C33BD3"/>
    <w:rsid w:val="00C3634F"/>
    <w:rsid w:val="00C368E0"/>
    <w:rsid w:val="00C3698B"/>
    <w:rsid w:val="00C41232"/>
    <w:rsid w:val="00C420A9"/>
    <w:rsid w:val="00C45CE6"/>
    <w:rsid w:val="00C54EF5"/>
    <w:rsid w:val="00C64321"/>
    <w:rsid w:val="00C65116"/>
    <w:rsid w:val="00C70CDF"/>
    <w:rsid w:val="00C727AA"/>
    <w:rsid w:val="00C731CD"/>
    <w:rsid w:val="00C73260"/>
    <w:rsid w:val="00C73952"/>
    <w:rsid w:val="00C77839"/>
    <w:rsid w:val="00C868B1"/>
    <w:rsid w:val="00C90823"/>
    <w:rsid w:val="00C92E6B"/>
    <w:rsid w:val="00C97C7F"/>
    <w:rsid w:val="00C97F7C"/>
    <w:rsid w:val="00CA13F6"/>
    <w:rsid w:val="00CB082A"/>
    <w:rsid w:val="00CC4201"/>
    <w:rsid w:val="00CD098A"/>
    <w:rsid w:val="00CF0E9B"/>
    <w:rsid w:val="00CF243F"/>
    <w:rsid w:val="00D0121F"/>
    <w:rsid w:val="00D14B18"/>
    <w:rsid w:val="00D42508"/>
    <w:rsid w:val="00D43D01"/>
    <w:rsid w:val="00D514CE"/>
    <w:rsid w:val="00D60F0A"/>
    <w:rsid w:val="00D83977"/>
    <w:rsid w:val="00D93AA4"/>
    <w:rsid w:val="00DA3DAA"/>
    <w:rsid w:val="00DB56D6"/>
    <w:rsid w:val="00DC0A86"/>
    <w:rsid w:val="00DC5422"/>
    <w:rsid w:val="00DC7C24"/>
    <w:rsid w:val="00DD0237"/>
    <w:rsid w:val="00DE369D"/>
    <w:rsid w:val="00DE3C60"/>
    <w:rsid w:val="00E06464"/>
    <w:rsid w:val="00E324FC"/>
    <w:rsid w:val="00E47D0F"/>
    <w:rsid w:val="00E512E9"/>
    <w:rsid w:val="00E535FF"/>
    <w:rsid w:val="00E54BBD"/>
    <w:rsid w:val="00E5620D"/>
    <w:rsid w:val="00E72CC6"/>
    <w:rsid w:val="00E76F67"/>
    <w:rsid w:val="00E839A9"/>
    <w:rsid w:val="00E85C63"/>
    <w:rsid w:val="00E91AED"/>
    <w:rsid w:val="00E967B8"/>
    <w:rsid w:val="00EC4D65"/>
    <w:rsid w:val="00ED3B97"/>
    <w:rsid w:val="00ED461E"/>
    <w:rsid w:val="00ED558B"/>
    <w:rsid w:val="00EE4FD5"/>
    <w:rsid w:val="00EE5CF2"/>
    <w:rsid w:val="00F0416A"/>
    <w:rsid w:val="00F0495B"/>
    <w:rsid w:val="00F10477"/>
    <w:rsid w:val="00F240FE"/>
    <w:rsid w:val="00F35EDD"/>
    <w:rsid w:val="00F45C77"/>
    <w:rsid w:val="00F53512"/>
    <w:rsid w:val="00F54D83"/>
    <w:rsid w:val="00F54FB5"/>
    <w:rsid w:val="00F60D6E"/>
    <w:rsid w:val="00F64B61"/>
    <w:rsid w:val="00F663CE"/>
    <w:rsid w:val="00F72EB5"/>
    <w:rsid w:val="00F75705"/>
    <w:rsid w:val="00F75D4D"/>
    <w:rsid w:val="00F77979"/>
    <w:rsid w:val="00F813A8"/>
    <w:rsid w:val="00F84684"/>
    <w:rsid w:val="00F90AFE"/>
    <w:rsid w:val="00FA3BE2"/>
    <w:rsid w:val="00FC28B6"/>
    <w:rsid w:val="00FC3D8A"/>
    <w:rsid w:val="00FC3FEF"/>
    <w:rsid w:val="00FC686D"/>
    <w:rsid w:val="00FD18D2"/>
    <w:rsid w:val="00FD2789"/>
    <w:rsid w:val="00FD3DFC"/>
    <w:rsid w:val="00FE77E2"/>
    <w:rsid w:val="00FF5FE9"/>
    <w:rsid w:val="09C2B087"/>
    <w:rsid w:val="0C2B43E8"/>
    <w:rsid w:val="49F2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5E39F"/>
  <w15:chartTrackingRefBased/>
  <w15:docId w15:val="{600A49CA-795C-4C35-B33D-108967E4C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C4D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C4D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C4D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C4D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C4D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C4D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C4D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C4D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C4D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C4D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C4D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C4D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C4D6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C4D6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C4D6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C4D6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C4D6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C4D6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C4D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C4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C4D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C4D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C4D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C4D6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C4D6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C4D6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C4D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C4D6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C4D65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8C66C1"/>
    <w:pPr>
      <w:spacing w:after="0" w:line="240" w:lineRule="auto"/>
    </w:pPr>
    <w:rPr>
      <w:kern w:val="0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8C66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66C1"/>
  </w:style>
  <w:style w:type="paragraph" w:styleId="Piedepgina">
    <w:name w:val="footer"/>
    <w:basedOn w:val="Normal"/>
    <w:link w:val="PiedepginaCar"/>
    <w:uiPriority w:val="99"/>
    <w:unhideWhenUsed/>
    <w:rsid w:val="008C66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66C1"/>
  </w:style>
  <w:style w:type="character" w:styleId="Hipervnculo">
    <w:name w:val="Hyperlink"/>
    <w:basedOn w:val="Fuentedeprrafopredeter"/>
    <w:uiPriority w:val="99"/>
    <w:unhideWhenUsed/>
    <w:rsid w:val="00162774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17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Fuerte">
    <w:name w:val="Strong"/>
    <w:basedOn w:val="Fuentedeprrafopredeter"/>
    <w:uiPriority w:val="22"/>
    <w:qFormat/>
    <w:rsid w:val="004175CA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A14D6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14D6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14D6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14D6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14D68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C420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diez@kreab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portero@kreab.com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ggomez@gesvalt.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tel:+3469259321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2217d6-fa2d-4252-bcd9-57041eb1a1c4">
      <Terms xmlns="http://schemas.microsoft.com/office/infopath/2007/PartnerControls"/>
    </lcf76f155ced4ddcb4097134ff3c332f>
    <TaxCatchAll xmlns="2b6cbe70-0c33-48c9-8214-7f84aa4386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81568CB2A4644A7DEBC09171563E8" ma:contentTypeVersion="19" ma:contentTypeDescription="Create a new document." ma:contentTypeScope="" ma:versionID="ac48b1bf53791f2fab21004daac1224a">
  <xsd:schema xmlns:xsd="http://www.w3.org/2001/XMLSchema" xmlns:xs="http://www.w3.org/2001/XMLSchema" xmlns:p="http://schemas.microsoft.com/office/2006/metadata/properties" xmlns:ns2="2b6cbe70-0c33-48c9-8214-7f84aa4386b5" xmlns:ns3="012217d6-fa2d-4252-bcd9-57041eb1a1c4" targetNamespace="http://schemas.microsoft.com/office/2006/metadata/properties" ma:root="true" ma:fieldsID="27ad2443e3a0398ec464184b731ba92e" ns2:_="" ns3:_="">
    <xsd:import namespace="2b6cbe70-0c33-48c9-8214-7f84aa4386b5"/>
    <xsd:import namespace="012217d6-fa2d-4252-bcd9-57041eb1a1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cbe70-0c33-48c9-8214-7f84aa43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06fa19-a254-4636-b82e-e8157df3be69}" ma:internalName="TaxCatchAll" ma:showField="CatchAllData" ma:web="2b6cbe70-0c33-48c9-8214-7f84aa438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217d6-fa2d-4252-bcd9-57041eb1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432716f-e644-4490-80ed-d07440625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2F810-4A2A-48B0-9BEA-34584E78A5C8}">
  <ds:schemaRefs>
    <ds:schemaRef ds:uri="http://schemas.microsoft.com/office/2006/metadata/properties"/>
    <ds:schemaRef ds:uri="http://schemas.microsoft.com/office/infopath/2007/PartnerControls"/>
    <ds:schemaRef ds:uri="012217d6-fa2d-4252-bcd9-57041eb1a1c4"/>
    <ds:schemaRef ds:uri="2b6cbe70-0c33-48c9-8214-7f84aa4386b5"/>
  </ds:schemaRefs>
</ds:datastoreItem>
</file>

<file path=customXml/itemProps2.xml><?xml version="1.0" encoding="utf-8"?>
<ds:datastoreItem xmlns:ds="http://schemas.openxmlformats.org/officeDocument/2006/customXml" ds:itemID="{0157D483-E2DB-4F78-8B33-41BEFFFB57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8C0491-F13C-4690-9982-4BB4984F0E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cbe70-0c33-48c9-8214-7f84aa4386b5"/>
    <ds:schemaRef ds:uri="012217d6-fa2d-4252-bcd9-57041eb1a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1018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Portero</dc:creator>
  <cp:keywords/>
  <dc:description/>
  <cp:lastModifiedBy>Beatriz Portero</cp:lastModifiedBy>
  <cp:revision>7</cp:revision>
  <dcterms:created xsi:type="dcterms:W3CDTF">2026-03-27T00:40:00Z</dcterms:created>
  <dcterms:modified xsi:type="dcterms:W3CDTF">2026-03-30T12:01:00Z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0x010100D8E81568CB2A4644A7DEBC09171563E8</vt:lpwstr>
  </property>
  <property fmtid="{D5CDD505-2E9C-101B-9397-08002B2CF9AE}" pid="3" name="MediaServiceImageTags">
    <vt:lpwstr/>
  </property>
</Properties>
</file>