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9931" w14:textId="37091BE2" w:rsidR="00E87BD3" w:rsidRDefault="008C66C1" w:rsidP="00E87BD3">
      <w:pPr>
        <w:widowControl w:val="0"/>
        <w:autoSpaceDE w:val="0"/>
        <w:autoSpaceDN w:val="0"/>
        <w:adjustRightInd w:val="0"/>
        <w:spacing w:after="240" w:line="560" w:lineRule="atLeast"/>
        <w:jc w:val="center"/>
        <w:rPr>
          <w:rFonts w:ascii="Visby" w:hAnsi="Visby" w:cs="Times"/>
          <w:u w:val="single"/>
        </w:rPr>
      </w:pPr>
      <w:r w:rsidRPr="004175CA">
        <w:rPr>
          <w:rFonts w:ascii="Visby" w:hAnsi="Visby" w:cs="Times"/>
          <w:u w:val="single"/>
        </w:rPr>
        <w:t xml:space="preserve">Informe de Vivienda </w:t>
      </w:r>
      <w:proofErr w:type="spellStart"/>
      <w:r w:rsidRPr="004175CA">
        <w:rPr>
          <w:rFonts w:ascii="Visby" w:hAnsi="Visby" w:cs="Times"/>
          <w:u w:val="single"/>
        </w:rPr>
        <w:t>Gesvalt</w:t>
      </w:r>
      <w:proofErr w:type="spellEnd"/>
      <w:r w:rsidRPr="004175CA">
        <w:rPr>
          <w:rFonts w:ascii="Visby" w:hAnsi="Visby" w:cs="Times"/>
          <w:u w:val="single"/>
        </w:rPr>
        <w:t xml:space="preserve"> </w:t>
      </w:r>
      <w:r w:rsidR="005C5568">
        <w:rPr>
          <w:rFonts w:ascii="Visby" w:hAnsi="Visby" w:cs="Times"/>
          <w:u w:val="single"/>
        </w:rPr>
        <w:t>segundo</w:t>
      </w:r>
      <w:r w:rsidRPr="004175CA">
        <w:rPr>
          <w:rFonts w:ascii="Visby" w:hAnsi="Visby" w:cs="Times"/>
          <w:u w:val="single"/>
        </w:rPr>
        <w:t xml:space="preserve"> trimestre 202</w:t>
      </w:r>
      <w:r w:rsidR="00211CFD">
        <w:rPr>
          <w:rFonts w:ascii="Visby" w:hAnsi="Visby" w:cs="Times"/>
          <w:u w:val="single"/>
        </w:rPr>
        <w:t>6</w:t>
      </w:r>
    </w:p>
    <w:p w14:paraId="0758D4BB" w14:textId="18CD0352" w:rsidR="00E87BD3" w:rsidRPr="009C7973" w:rsidRDefault="00E87BD3" w:rsidP="00550DB4">
      <w:pPr>
        <w:widowControl w:val="0"/>
        <w:autoSpaceDE w:val="0"/>
        <w:autoSpaceDN w:val="0"/>
        <w:adjustRightInd w:val="0"/>
        <w:spacing w:after="240" w:line="240" w:lineRule="auto"/>
        <w:jc w:val="center"/>
        <w:rPr>
          <w:rFonts w:ascii="Visby" w:hAnsi="Visby" w:cs="Times"/>
          <w:sz w:val="28"/>
          <w:szCs w:val="28"/>
        </w:rPr>
      </w:pPr>
      <w:r w:rsidRPr="009C7973">
        <w:rPr>
          <w:rFonts w:ascii="Visby" w:hAnsi="Visby" w:cs="Times"/>
          <w:b/>
          <w:bCs/>
          <w:sz w:val="28"/>
          <w:szCs w:val="28"/>
        </w:rPr>
        <w:t xml:space="preserve">El ciclo alcista </w:t>
      </w:r>
      <w:r w:rsidR="00E46F72" w:rsidRPr="009C7973">
        <w:rPr>
          <w:rFonts w:ascii="Visby" w:hAnsi="Visby" w:cs="Times"/>
          <w:b/>
          <w:bCs/>
          <w:sz w:val="28"/>
          <w:szCs w:val="28"/>
        </w:rPr>
        <w:t>en el</w:t>
      </w:r>
      <w:r w:rsidRPr="009C7973">
        <w:rPr>
          <w:rFonts w:ascii="Visby" w:hAnsi="Visby" w:cs="Times"/>
          <w:b/>
          <w:bCs/>
          <w:sz w:val="28"/>
          <w:szCs w:val="28"/>
        </w:rPr>
        <w:t xml:space="preserve"> precio de la vivienda </w:t>
      </w:r>
      <w:r w:rsidR="00E46F72" w:rsidRPr="009C7973">
        <w:rPr>
          <w:rFonts w:ascii="Visby" w:hAnsi="Visby" w:cs="Times"/>
          <w:b/>
          <w:bCs/>
          <w:sz w:val="28"/>
          <w:szCs w:val="28"/>
        </w:rPr>
        <w:t>continúa</w:t>
      </w:r>
      <w:r w:rsidRPr="009C7973">
        <w:rPr>
          <w:rFonts w:ascii="Visby" w:hAnsi="Visby" w:cs="Times"/>
          <w:b/>
          <w:bCs/>
          <w:sz w:val="28"/>
          <w:szCs w:val="28"/>
        </w:rPr>
        <w:t xml:space="preserve"> en </w:t>
      </w:r>
      <w:r w:rsidR="00E46F72" w:rsidRPr="009C7973">
        <w:rPr>
          <w:rFonts w:ascii="Visby" w:hAnsi="Visby" w:cs="Times"/>
          <w:b/>
          <w:bCs/>
          <w:sz w:val="28"/>
          <w:szCs w:val="28"/>
        </w:rPr>
        <w:t xml:space="preserve">el segundo trimestre de </w:t>
      </w:r>
      <w:r w:rsidRPr="009C7973">
        <w:rPr>
          <w:rFonts w:ascii="Visby" w:hAnsi="Visby" w:cs="Times"/>
          <w:b/>
          <w:bCs/>
          <w:sz w:val="28"/>
          <w:szCs w:val="28"/>
        </w:rPr>
        <w:t>2026, aunque el ritmo de crecimiento se modera</w:t>
      </w:r>
    </w:p>
    <w:p w14:paraId="7EFBCD9A" w14:textId="571FADE4" w:rsidR="001158A8" w:rsidRDefault="006041AC" w:rsidP="009C7973">
      <w:pPr>
        <w:widowControl w:val="0"/>
        <w:numPr>
          <w:ilvl w:val="0"/>
          <w:numId w:val="2"/>
        </w:numPr>
        <w:autoSpaceDE w:val="0"/>
        <w:autoSpaceDN w:val="0"/>
        <w:adjustRightInd w:val="0"/>
        <w:spacing w:after="240" w:line="240" w:lineRule="auto"/>
        <w:jc w:val="both"/>
        <w:rPr>
          <w:rFonts w:ascii="Visby" w:hAnsi="Visby" w:cs="Times"/>
        </w:rPr>
      </w:pPr>
      <w:r w:rsidRPr="009C7973">
        <w:rPr>
          <w:rFonts w:ascii="Visby" w:hAnsi="Visby"/>
        </w:rPr>
        <w:t>El precio medio de venta se sitúa en 2.041 €/m², con una variación interanual del 12,4 %</w:t>
      </w:r>
      <w:r w:rsidR="00E87BD3" w:rsidRPr="009C7973">
        <w:rPr>
          <w:rFonts w:ascii="Visby" w:hAnsi="Visby" w:cs="Times"/>
        </w:rPr>
        <w:t xml:space="preserve">, </w:t>
      </w:r>
      <w:r w:rsidR="001158A8">
        <w:rPr>
          <w:rFonts w:ascii="Visby" w:hAnsi="Visby" w:cs="Times"/>
        </w:rPr>
        <w:t xml:space="preserve">pero </w:t>
      </w:r>
      <w:r w:rsidR="00DC2FC6">
        <w:rPr>
          <w:rFonts w:ascii="Visby" w:hAnsi="Visby" w:cs="Times"/>
        </w:rPr>
        <w:t>una subida más contenida de</w:t>
      </w:r>
      <w:r w:rsidR="001158A8">
        <w:rPr>
          <w:rFonts w:ascii="Visby" w:hAnsi="Visby" w:cs="Times"/>
        </w:rPr>
        <w:t xml:space="preserve"> un 1,4% trimestral</w:t>
      </w:r>
    </w:p>
    <w:p w14:paraId="0B74C1BD" w14:textId="755EF92A" w:rsidR="00E87BD3" w:rsidRPr="009C7973" w:rsidRDefault="00E87BD3" w:rsidP="009C7973">
      <w:pPr>
        <w:widowControl w:val="0"/>
        <w:numPr>
          <w:ilvl w:val="0"/>
          <w:numId w:val="2"/>
        </w:numPr>
        <w:autoSpaceDE w:val="0"/>
        <w:autoSpaceDN w:val="0"/>
        <w:adjustRightInd w:val="0"/>
        <w:spacing w:after="240" w:line="240" w:lineRule="auto"/>
        <w:jc w:val="both"/>
        <w:rPr>
          <w:rFonts w:ascii="Visby" w:hAnsi="Visby" w:cs="Times"/>
        </w:rPr>
      </w:pPr>
      <w:r w:rsidRPr="009C7973">
        <w:rPr>
          <w:rFonts w:ascii="Visby" w:hAnsi="Visby" w:cs="Times"/>
        </w:rPr>
        <w:t>El aumento de precios se extiende de forma generalizada, aunque las mayores subidas se concentran en Murcia, Cantabria y Comunidad Valenciana, seguidas de Asturias y Castilla-La Mancha</w:t>
      </w:r>
    </w:p>
    <w:p w14:paraId="240E3F0D" w14:textId="5819092E" w:rsidR="00B67225" w:rsidRDefault="00E87BD3" w:rsidP="009C7973">
      <w:pPr>
        <w:widowControl w:val="0"/>
        <w:numPr>
          <w:ilvl w:val="0"/>
          <w:numId w:val="2"/>
        </w:numPr>
        <w:autoSpaceDE w:val="0"/>
        <w:autoSpaceDN w:val="0"/>
        <w:adjustRightInd w:val="0"/>
        <w:spacing w:after="240" w:line="240" w:lineRule="auto"/>
        <w:jc w:val="both"/>
        <w:rPr>
          <w:rFonts w:ascii="Visby" w:hAnsi="Visby" w:cs="Times"/>
        </w:rPr>
      </w:pPr>
      <w:r w:rsidRPr="00B67225">
        <w:rPr>
          <w:rFonts w:ascii="Visby" w:hAnsi="Visby" w:cs="Times"/>
        </w:rPr>
        <w:t>El alquiler intensifica su crecimiento en provincias del interior como Toledo, Albacete y Palencia</w:t>
      </w:r>
      <w:r w:rsidR="006C13AB">
        <w:rPr>
          <w:rFonts w:ascii="Visby" w:hAnsi="Visby" w:cs="Times"/>
        </w:rPr>
        <w:t xml:space="preserve">, pero desciende </w:t>
      </w:r>
      <w:r w:rsidR="00E304F4">
        <w:rPr>
          <w:rFonts w:ascii="Visby" w:hAnsi="Visby" w:cs="Times"/>
        </w:rPr>
        <w:t>en</w:t>
      </w:r>
      <w:r w:rsidR="006C13AB">
        <w:rPr>
          <w:rFonts w:ascii="Visby" w:hAnsi="Visby" w:cs="Times"/>
        </w:rPr>
        <w:t xml:space="preserve"> Barcelona, </w:t>
      </w:r>
      <w:r w:rsidR="00E304F4">
        <w:rPr>
          <w:rFonts w:ascii="Visby" w:hAnsi="Visby" w:cs="Times"/>
        </w:rPr>
        <w:t xml:space="preserve">Cantabria y </w:t>
      </w:r>
      <w:r w:rsidR="00197512" w:rsidRPr="001A21C3">
        <w:rPr>
          <w:rFonts w:ascii="Visby" w:hAnsi="Visby"/>
        </w:rPr>
        <w:t>Guipúzcoa</w:t>
      </w:r>
    </w:p>
    <w:p w14:paraId="6F3F2F9D" w14:textId="100CABA0" w:rsidR="00E94B23" w:rsidRPr="00480318" w:rsidRDefault="00E87BD3" w:rsidP="00E94B23">
      <w:pPr>
        <w:widowControl w:val="0"/>
        <w:autoSpaceDE w:val="0"/>
        <w:autoSpaceDN w:val="0"/>
        <w:adjustRightInd w:val="0"/>
        <w:spacing w:after="240" w:line="240" w:lineRule="auto"/>
        <w:jc w:val="both"/>
        <w:rPr>
          <w:rFonts w:ascii="Visby" w:hAnsi="Visby" w:cs="Times"/>
        </w:rPr>
      </w:pPr>
      <w:r w:rsidRPr="00197512">
        <w:rPr>
          <w:rFonts w:ascii="Visby" w:hAnsi="Visby" w:cs="Times"/>
          <w:b/>
          <w:bCs/>
        </w:rPr>
        <w:t xml:space="preserve">Madrid, </w:t>
      </w:r>
      <w:r w:rsidR="00C760AE">
        <w:rPr>
          <w:rFonts w:ascii="Visby" w:hAnsi="Visby" w:cs="Times"/>
          <w:b/>
          <w:bCs/>
        </w:rPr>
        <w:t>8</w:t>
      </w:r>
      <w:r w:rsidRPr="00197512">
        <w:rPr>
          <w:rFonts w:ascii="Visby" w:hAnsi="Visby" w:cs="Times"/>
          <w:b/>
          <w:bCs/>
        </w:rPr>
        <w:t xml:space="preserve"> de </w:t>
      </w:r>
      <w:r w:rsidR="00C760AE">
        <w:rPr>
          <w:rFonts w:ascii="Visby" w:hAnsi="Visby" w:cs="Times"/>
          <w:b/>
          <w:bCs/>
        </w:rPr>
        <w:t>julio</w:t>
      </w:r>
      <w:r w:rsidRPr="00197512">
        <w:rPr>
          <w:rFonts w:ascii="Visby" w:hAnsi="Visby" w:cs="Times"/>
          <w:b/>
          <w:bCs/>
        </w:rPr>
        <w:t xml:space="preserve"> de 2026</w:t>
      </w:r>
      <w:r w:rsidRPr="00B67225">
        <w:rPr>
          <w:rFonts w:ascii="Visby" w:hAnsi="Visby" w:cs="Times"/>
        </w:rPr>
        <w:t xml:space="preserve"> – </w:t>
      </w:r>
      <w:proofErr w:type="spellStart"/>
      <w:r w:rsidRPr="002D0745">
        <w:rPr>
          <w:rFonts w:ascii="Visby" w:hAnsi="Visby" w:cs="Times"/>
        </w:rPr>
        <w:t>Gesvalt</w:t>
      </w:r>
      <w:proofErr w:type="spellEnd"/>
      <w:r w:rsidRPr="002D0745">
        <w:rPr>
          <w:rFonts w:ascii="Visby" w:hAnsi="Visby" w:cs="Times"/>
        </w:rPr>
        <w:t xml:space="preserve"> Tasaciones</w:t>
      </w:r>
      <w:r w:rsidRPr="00B67225">
        <w:rPr>
          <w:rFonts w:ascii="Visby" w:hAnsi="Visby" w:cs="Times"/>
        </w:rPr>
        <w:t xml:space="preserve"> ha publicado su Informe de Vivienda correspondiente al segundo trimestre del año. Según el estudio, elaborado a partir de datos propios por el departamento de </w:t>
      </w:r>
      <w:proofErr w:type="spellStart"/>
      <w:r w:rsidRPr="00B67225">
        <w:rPr>
          <w:rFonts w:ascii="Visby" w:hAnsi="Visby" w:cs="Times"/>
        </w:rPr>
        <w:t>Research</w:t>
      </w:r>
      <w:proofErr w:type="spellEnd"/>
      <w:r w:rsidRPr="00B67225">
        <w:rPr>
          <w:rFonts w:ascii="Visby" w:hAnsi="Visby" w:cs="Times"/>
        </w:rPr>
        <w:t xml:space="preserve"> de la firma, el ciclo alcista de los valores residenciales continúa en 2026, aunque </w:t>
      </w:r>
      <w:r w:rsidRPr="00480318">
        <w:rPr>
          <w:rFonts w:ascii="Visby" w:hAnsi="Visby" w:cs="Times"/>
        </w:rPr>
        <w:t>el ritmo de avance comienza a mostrar cierta moderación. A</w:t>
      </w:r>
      <w:r w:rsidR="001B1BE9" w:rsidRPr="00480318">
        <w:rPr>
          <w:rFonts w:ascii="Visby" w:hAnsi="Visby" w:cs="Times"/>
        </w:rPr>
        <w:t>sí, a</w:t>
      </w:r>
      <w:r w:rsidRPr="00480318">
        <w:rPr>
          <w:rFonts w:ascii="Visby" w:hAnsi="Visby" w:cs="Times"/>
        </w:rPr>
        <w:t xml:space="preserve">l cierre del segundo trimestre, el precio medio de venta se sitúa en 2.041 €/m², lo que supone un incremento interanual </w:t>
      </w:r>
      <w:r w:rsidR="00AC562E" w:rsidRPr="00480318">
        <w:rPr>
          <w:rFonts w:ascii="Visby" w:hAnsi="Visby" w:cs="Times"/>
        </w:rPr>
        <w:t xml:space="preserve">de más </w:t>
      </w:r>
      <w:r w:rsidRPr="00480318">
        <w:rPr>
          <w:rFonts w:ascii="Visby" w:hAnsi="Visby" w:cs="Times"/>
        </w:rPr>
        <w:t>del 12</w:t>
      </w:r>
      <w:r w:rsidR="007F1A21" w:rsidRPr="00480318">
        <w:rPr>
          <w:rFonts w:ascii="Visby" w:hAnsi="Visby" w:cs="Times"/>
        </w:rPr>
        <w:t xml:space="preserve"> % aunque también</w:t>
      </w:r>
      <w:r w:rsidRPr="00480318">
        <w:rPr>
          <w:rFonts w:ascii="Visby" w:hAnsi="Visby" w:cs="Times"/>
        </w:rPr>
        <w:t xml:space="preserve"> una subida</w:t>
      </w:r>
      <w:r w:rsidR="00022676" w:rsidRPr="00480318">
        <w:rPr>
          <w:rFonts w:ascii="Visby" w:hAnsi="Visby" w:cs="Times"/>
        </w:rPr>
        <w:t xml:space="preserve"> más </w:t>
      </w:r>
      <w:r w:rsidR="009E3CF3" w:rsidRPr="00480318">
        <w:rPr>
          <w:rFonts w:ascii="Visby" w:hAnsi="Visby" w:cs="Times"/>
        </w:rPr>
        <w:t>contenida del</w:t>
      </w:r>
      <w:r w:rsidRPr="00480318">
        <w:rPr>
          <w:rFonts w:ascii="Visby" w:hAnsi="Visby" w:cs="Times"/>
        </w:rPr>
        <w:t xml:space="preserve"> 1,4 % respecto al trimestre anterior.</w:t>
      </w:r>
      <w:r w:rsidR="008F57AD" w:rsidRPr="00480318">
        <w:rPr>
          <w:rFonts w:ascii="Visby" w:hAnsi="Visby" w:cs="Times"/>
        </w:rPr>
        <w:t xml:space="preserve"> </w:t>
      </w:r>
      <w:r w:rsidR="00E94B23" w:rsidRPr="00480318">
        <w:rPr>
          <w:rFonts w:ascii="Visby" w:hAnsi="Visby" w:cs="Times"/>
        </w:rPr>
        <w:t xml:space="preserve">La contención de la subida </w:t>
      </w:r>
      <w:proofErr w:type="spellStart"/>
      <w:r w:rsidR="00E94B23" w:rsidRPr="00480318">
        <w:rPr>
          <w:rFonts w:ascii="Visby" w:hAnsi="Visby" w:cs="Times"/>
        </w:rPr>
        <w:t>intertrimestral</w:t>
      </w:r>
      <w:proofErr w:type="spellEnd"/>
      <w:r w:rsidR="00E94B23" w:rsidRPr="00480318">
        <w:rPr>
          <w:rFonts w:ascii="Visby" w:hAnsi="Visby" w:cs="Times"/>
        </w:rPr>
        <w:t xml:space="preserve"> de precios en este trimestre se corresponde con una normalización del ritmo de crecimiento tras los fuertes incrementos experimentados en 2025. </w:t>
      </w:r>
    </w:p>
    <w:p w14:paraId="3CEC552A" w14:textId="77777777" w:rsidR="00E87BD3" w:rsidRPr="00480318" w:rsidRDefault="00E87BD3" w:rsidP="009C7973">
      <w:pPr>
        <w:widowControl w:val="0"/>
        <w:autoSpaceDE w:val="0"/>
        <w:autoSpaceDN w:val="0"/>
        <w:adjustRightInd w:val="0"/>
        <w:spacing w:after="240" w:line="240" w:lineRule="auto"/>
        <w:jc w:val="both"/>
        <w:rPr>
          <w:rFonts w:ascii="Visby" w:hAnsi="Visby" w:cs="Times"/>
        </w:rPr>
      </w:pPr>
      <w:r w:rsidRPr="00480318">
        <w:rPr>
          <w:rFonts w:ascii="Visby" w:hAnsi="Visby" w:cs="Times"/>
        </w:rPr>
        <w:t>En este contexto, adquirir una vivienda estándar de 90 metros cuadrados requiere de una inversión media de 183.690 euros, frente a los 163.440 euros estimados para una vivienda de características similares en el mismo periodo de 2025. Esto supone que comprar una casa cuesta hoy 20.250 euros más en solo un año.</w:t>
      </w:r>
    </w:p>
    <w:p w14:paraId="4786DB4E" w14:textId="4CD9DE8C" w:rsidR="000D1627" w:rsidRPr="00480318" w:rsidRDefault="000D1627" w:rsidP="009C7973">
      <w:pPr>
        <w:widowControl w:val="0"/>
        <w:autoSpaceDE w:val="0"/>
        <w:autoSpaceDN w:val="0"/>
        <w:adjustRightInd w:val="0"/>
        <w:spacing w:after="240" w:line="240" w:lineRule="auto"/>
        <w:jc w:val="both"/>
        <w:rPr>
          <w:rFonts w:ascii="Visby" w:hAnsi="Visby" w:cs="Times"/>
        </w:rPr>
      </w:pPr>
      <w:r w:rsidRPr="00480318">
        <w:rPr>
          <w:rFonts w:ascii="Visby" w:hAnsi="Visby" w:cs="Times"/>
        </w:rPr>
        <w:t xml:space="preserve">Por otro lado, las compraventas totales descendieron un 2,6 % en el primer trimestre de 2026, hasta las 178.473 operaciones, </w:t>
      </w:r>
      <w:r w:rsidR="00BE6694" w:rsidRPr="00480318">
        <w:rPr>
          <w:rFonts w:ascii="Visby" w:hAnsi="Visby" w:cs="Times"/>
        </w:rPr>
        <w:t xml:space="preserve">lo que puedo contribuir a reducir la presión de la demanda, </w:t>
      </w:r>
      <w:r w:rsidRPr="00480318">
        <w:rPr>
          <w:rFonts w:ascii="Visby" w:hAnsi="Visby" w:cs="Times"/>
        </w:rPr>
        <w:t>mientras que la actividad hipotecaria continúa mostrando solidez, con un aumento interanual del 9,7 % en el número de hipotecas constituidas sobre vivienda (131.554 operaciones), reflejando así un mayor peso relativo de la financiación en el mercado residencial.</w:t>
      </w:r>
    </w:p>
    <w:p w14:paraId="041D7B65" w14:textId="4D4C1185" w:rsidR="00E87BD3" w:rsidRPr="001A21C3" w:rsidRDefault="00E87BD3" w:rsidP="009C7973">
      <w:pPr>
        <w:widowControl w:val="0"/>
        <w:autoSpaceDE w:val="0"/>
        <w:autoSpaceDN w:val="0"/>
        <w:adjustRightInd w:val="0"/>
        <w:spacing w:after="240" w:line="240" w:lineRule="auto"/>
        <w:jc w:val="both"/>
        <w:rPr>
          <w:rFonts w:ascii="Visby" w:hAnsi="Visby" w:cs="Times"/>
        </w:rPr>
      </w:pPr>
      <w:r w:rsidRPr="00480318">
        <w:rPr>
          <w:rFonts w:ascii="Visby" w:hAnsi="Visby" w:cs="Times"/>
        </w:rPr>
        <w:t>Por su parte, la actividad promotora sigue siendo positiva</w:t>
      </w:r>
      <w:r w:rsidR="00CD3529" w:rsidRPr="00480318">
        <w:rPr>
          <w:rFonts w:ascii="Visby" w:hAnsi="Visby" w:cs="Times"/>
        </w:rPr>
        <w:t xml:space="preserve"> con</w:t>
      </w:r>
      <w:r w:rsidRPr="00480318">
        <w:rPr>
          <w:rFonts w:ascii="Visby" w:hAnsi="Visby" w:cs="Times"/>
        </w:rPr>
        <w:t xml:space="preserve"> un aumento de visados de dirección de obra del 9,3 % (24.991 unidades en los dos primeros meses de 2026). No obstante, los certificados finales de obra (13.802 unidades) crecen de forma más moderada, lo que indica que la incorporación de nueva vivienda terminada </w:t>
      </w:r>
      <w:r w:rsidRPr="001A21C3">
        <w:rPr>
          <w:rFonts w:ascii="Visby" w:hAnsi="Visby" w:cs="Times"/>
        </w:rPr>
        <w:t>sigue costando más que el inicio de nuevos proyectos.</w:t>
      </w:r>
    </w:p>
    <w:p w14:paraId="7A138CA8" w14:textId="77777777" w:rsidR="00E87BD3" w:rsidRPr="001A21C3" w:rsidRDefault="00E87BD3" w:rsidP="009C7973">
      <w:pPr>
        <w:widowControl w:val="0"/>
        <w:autoSpaceDE w:val="0"/>
        <w:autoSpaceDN w:val="0"/>
        <w:adjustRightInd w:val="0"/>
        <w:spacing w:after="240" w:line="240" w:lineRule="auto"/>
        <w:jc w:val="both"/>
        <w:rPr>
          <w:rFonts w:ascii="Visby" w:hAnsi="Visby" w:cs="Times"/>
        </w:rPr>
      </w:pPr>
      <w:r w:rsidRPr="001A21C3">
        <w:rPr>
          <w:rFonts w:ascii="Visby" w:hAnsi="Visby" w:cs="Times"/>
          <w:b/>
          <w:bCs/>
        </w:rPr>
        <w:t>La subida de precios se generaliza en todas las Comunidades</w:t>
      </w:r>
    </w:p>
    <w:p w14:paraId="5B08075C" w14:textId="77777777" w:rsidR="00E87BD3" w:rsidRPr="001A21C3" w:rsidRDefault="00E87BD3" w:rsidP="009C7973">
      <w:pPr>
        <w:widowControl w:val="0"/>
        <w:autoSpaceDE w:val="0"/>
        <w:autoSpaceDN w:val="0"/>
        <w:adjustRightInd w:val="0"/>
        <w:spacing w:after="240" w:line="240" w:lineRule="auto"/>
        <w:jc w:val="both"/>
        <w:rPr>
          <w:rFonts w:ascii="Visby" w:hAnsi="Visby" w:cs="Times"/>
        </w:rPr>
      </w:pPr>
      <w:r w:rsidRPr="001A21C3">
        <w:rPr>
          <w:rFonts w:ascii="Visby" w:hAnsi="Visby" w:cs="Times"/>
        </w:rPr>
        <w:t>Durante el segundo trimestre de 2026, todas las Comunidades Autónomas vuelven a registrar incrementos interanuales en el precio medio de venta, confirmando la extensión del ciclo alcista a todo el territorio.</w:t>
      </w:r>
    </w:p>
    <w:p w14:paraId="5E0F37DA" w14:textId="7B741C59" w:rsidR="00E87BD3" w:rsidRPr="001A21C3" w:rsidRDefault="00E87BD3" w:rsidP="009C7973">
      <w:pPr>
        <w:widowControl w:val="0"/>
        <w:autoSpaceDE w:val="0"/>
        <w:autoSpaceDN w:val="0"/>
        <w:adjustRightInd w:val="0"/>
        <w:spacing w:after="240" w:line="240" w:lineRule="auto"/>
        <w:jc w:val="both"/>
        <w:rPr>
          <w:rFonts w:ascii="Visby" w:hAnsi="Visby" w:cs="Times"/>
        </w:rPr>
      </w:pPr>
      <w:r w:rsidRPr="001A21C3">
        <w:rPr>
          <w:rFonts w:ascii="Visby" w:hAnsi="Visby" w:cs="Times"/>
        </w:rPr>
        <w:t xml:space="preserve">Las mayores subidas se concentran en la Región de Murcia (+18,2 %), Cantabria (+14,7 %) y la Comunidad Valenciana (+13,7 %), seguidas de Asturias (+13,2 %) y Castilla-La Mancha (+13 %). En el extremo opuesto, La Rioja (+5,7 %), Baleares (+7,5 %), Extremadura (+7,8 %) y Canarias (+7,9 %) muestran avances más moderados, sin descensos en ninguna </w:t>
      </w:r>
      <w:r w:rsidRPr="001A21C3">
        <w:rPr>
          <w:rFonts w:ascii="Visby" w:hAnsi="Visby" w:cs="Times"/>
        </w:rPr>
        <w:lastRenderedPageBreak/>
        <w:t>Comunidad.</w:t>
      </w:r>
    </w:p>
    <w:p w14:paraId="08DE8176" w14:textId="77777777" w:rsidR="00E87BD3" w:rsidRPr="001A21C3" w:rsidRDefault="00E87BD3" w:rsidP="009C7973">
      <w:pPr>
        <w:widowControl w:val="0"/>
        <w:autoSpaceDE w:val="0"/>
        <w:autoSpaceDN w:val="0"/>
        <w:adjustRightInd w:val="0"/>
        <w:spacing w:after="240" w:line="240" w:lineRule="auto"/>
        <w:jc w:val="both"/>
        <w:rPr>
          <w:rFonts w:ascii="Visby" w:hAnsi="Visby" w:cs="Times"/>
        </w:rPr>
      </w:pPr>
      <w:r w:rsidRPr="001A21C3">
        <w:rPr>
          <w:rFonts w:ascii="Visby" w:hAnsi="Visby" w:cs="Times"/>
        </w:rPr>
        <w:t>En cuanto a valores absolutos, Baleares sigue a la cabeza con 3.455 €/m², seguida de la Comunidad de Madrid (3.333 €/m²) y Euskadi (2.774 €/m²). Canarias y Cantabria también superan los 2.000 €/m², mientras que Extremadura (950 €/m²), Castilla-La Mancha (1.065 €/m²), Castilla y León (1.185 €/m²), Galicia (1.285 €/m²) y La Rioja (1.307 €/m²) se mantienen como las regiones más asequibles.</w:t>
      </w:r>
    </w:p>
    <w:p w14:paraId="5B19487C" w14:textId="77777777" w:rsidR="00E87BD3" w:rsidRPr="001A21C3" w:rsidRDefault="00E87BD3" w:rsidP="009C7973">
      <w:pPr>
        <w:widowControl w:val="0"/>
        <w:autoSpaceDE w:val="0"/>
        <w:autoSpaceDN w:val="0"/>
        <w:adjustRightInd w:val="0"/>
        <w:spacing w:after="240" w:line="240" w:lineRule="auto"/>
        <w:jc w:val="both"/>
        <w:rPr>
          <w:rFonts w:ascii="Visby" w:hAnsi="Visby" w:cs="Times"/>
        </w:rPr>
      </w:pPr>
      <w:r w:rsidRPr="001A21C3">
        <w:rPr>
          <w:rFonts w:ascii="Visby" w:hAnsi="Visby" w:cs="Times"/>
        </w:rPr>
        <w:t>Entre las capitales de provincia, Donostia-San Sebastián vuelve a situarse como la ciudad con el valor unitario más elevado (4.815 €/m²), seguida de Madrid (4.441 €/m²) y Barcelona (4.151 €/m²), mientras que Palma de Mallorca (3.421 €/m²) y Málaga (3.108 €/m²) confirman el peso de los principales mercados urbanos y costeros de alta demanda. Las capitales con precios más reducidos son Lleida, Cáceres y Teruel, en torno a los 1.200 €/m².</w:t>
      </w:r>
    </w:p>
    <w:p w14:paraId="73FE94DC" w14:textId="77777777" w:rsidR="00E87BD3" w:rsidRPr="001A21C3" w:rsidRDefault="00E87BD3" w:rsidP="009C7973">
      <w:pPr>
        <w:widowControl w:val="0"/>
        <w:autoSpaceDE w:val="0"/>
        <w:autoSpaceDN w:val="0"/>
        <w:adjustRightInd w:val="0"/>
        <w:spacing w:after="240" w:line="240" w:lineRule="auto"/>
        <w:jc w:val="both"/>
        <w:rPr>
          <w:rFonts w:ascii="Visby" w:hAnsi="Visby" w:cs="Times"/>
        </w:rPr>
      </w:pPr>
      <w:r w:rsidRPr="001A21C3">
        <w:rPr>
          <w:rFonts w:ascii="Visby" w:hAnsi="Visby" w:cs="Times"/>
          <w:b/>
          <w:bCs/>
        </w:rPr>
        <w:t>El alquiler mantiene la presión al alza</w:t>
      </w:r>
    </w:p>
    <w:p w14:paraId="6A693760" w14:textId="77777777" w:rsidR="003377B5" w:rsidRPr="001A21C3" w:rsidRDefault="003377B5" w:rsidP="003377B5">
      <w:pPr>
        <w:pStyle w:val="Sinespaciado"/>
        <w:jc w:val="both"/>
        <w:rPr>
          <w:rFonts w:ascii="Visby" w:hAnsi="Visby"/>
        </w:rPr>
      </w:pPr>
      <w:r w:rsidRPr="001A21C3">
        <w:rPr>
          <w:rFonts w:ascii="Visby" w:hAnsi="Visby"/>
        </w:rPr>
        <w:t>En el mercado del alquiler provincial, las mayores subidas se registran en Toledo (+12,4 %), Albacete (+11,9 %) y Palencia (+11,3 %), lo que evidencia que la presión sobre las rentas no se limita a los grandes mercados urbanos. En sentido contrario, Barcelona (-9,2 %), Cantabria (-3,0 %), Guipúzcoa (-2,5 %) y Girona (-2,2 %) presentan correcciones, aunque los descensos siguen siendo selectivos.</w:t>
      </w:r>
    </w:p>
    <w:p w14:paraId="617E5024" w14:textId="77777777" w:rsidR="003377B5" w:rsidRPr="001A21C3" w:rsidRDefault="003377B5" w:rsidP="003377B5">
      <w:pPr>
        <w:pStyle w:val="Sinespaciado"/>
        <w:jc w:val="both"/>
        <w:rPr>
          <w:rFonts w:ascii="Visby" w:hAnsi="Visby"/>
          <w:color w:val="FF0000"/>
          <w:highlight w:val="yellow"/>
        </w:rPr>
      </w:pPr>
    </w:p>
    <w:p w14:paraId="512CEC30" w14:textId="3F42AD3A" w:rsidR="00190B3E" w:rsidRPr="00ED1B7B" w:rsidRDefault="003377B5" w:rsidP="00ED1B7B">
      <w:pPr>
        <w:spacing w:line="240" w:lineRule="auto"/>
        <w:jc w:val="both"/>
        <w:rPr>
          <w:rFonts w:ascii="Visby" w:hAnsi="Visby"/>
        </w:rPr>
      </w:pPr>
      <w:r w:rsidRPr="001A21C3">
        <w:rPr>
          <w:rFonts w:ascii="Visby" w:hAnsi="Visby"/>
        </w:rPr>
        <w:t>Los niveles de alquiler más altos se concentran en Madrid (22,70 €/m²/mes), Barcelona (22,13 €/m²/mes) y Baleares (20,74 €/m²/mes), con valores claramente superiores al resto de provincias. También destacan Guipúzcoa, Málaga, Las Palmas, Santa Cruz de Tenerife y Vizcaya. En el extremo opuesto, Jaén, Teruel, Cuenca, Ourense y Cáceres se mantienen como los mercados provinciales con rentas más reducidas, por debajo de los 7 €/m²/mes.</w:t>
      </w:r>
    </w:p>
    <w:p w14:paraId="1BCF7119" w14:textId="460D4347" w:rsidR="00476B9A" w:rsidRPr="003C6814" w:rsidRDefault="00476B9A" w:rsidP="00476B9A">
      <w:pPr>
        <w:widowControl w:val="0"/>
        <w:autoSpaceDE w:val="0"/>
        <w:autoSpaceDN w:val="0"/>
        <w:adjustRightInd w:val="0"/>
        <w:spacing w:after="240" w:line="276" w:lineRule="auto"/>
        <w:jc w:val="both"/>
        <w:rPr>
          <w:rFonts w:ascii="Visby" w:hAnsi="Visby" w:cs="Baghdad"/>
          <w:b/>
          <w:bCs/>
          <w:color w:val="2177BE"/>
          <w:sz w:val="20"/>
          <w:szCs w:val="20"/>
        </w:rPr>
      </w:pPr>
      <w:r w:rsidRPr="003C6814">
        <w:rPr>
          <w:rFonts w:ascii="Visby" w:hAnsi="Visby" w:cs="Baghdad"/>
          <w:b/>
          <w:bCs/>
          <w:color w:val="2177BE"/>
          <w:sz w:val="20"/>
          <w:szCs w:val="20"/>
        </w:rPr>
        <w:t xml:space="preserve">Acerca de </w:t>
      </w:r>
      <w:r w:rsidR="00A65B9A">
        <w:rPr>
          <w:rFonts w:ascii="Visby" w:hAnsi="Visby" w:cs="Baghdad"/>
          <w:b/>
          <w:bCs/>
          <w:color w:val="2177BE"/>
          <w:sz w:val="20"/>
          <w:szCs w:val="20"/>
        </w:rPr>
        <w:t xml:space="preserve">Grupo </w:t>
      </w:r>
      <w:proofErr w:type="spellStart"/>
      <w:r w:rsidRPr="003C6814">
        <w:rPr>
          <w:rFonts w:ascii="Visby" w:hAnsi="Visby" w:cs="Baghdad"/>
          <w:b/>
          <w:bCs/>
          <w:color w:val="2177BE"/>
          <w:sz w:val="20"/>
          <w:szCs w:val="20"/>
        </w:rPr>
        <w:t>Gesvalt</w:t>
      </w:r>
      <w:proofErr w:type="spellEnd"/>
    </w:p>
    <w:p w14:paraId="00327D17" w14:textId="6D9C09E3" w:rsidR="00476B9A" w:rsidRPr="003C6814" w:rsidRDefault="00476B9A" w:rsidP="00476B9A">
      <w:pPr>
        <w:widowControl w:val="0"/>
        <w:autoSpaceDE w:val="0"/>
        <w:autoSpaceDN w:val="0"/>
        <w:adjustRightInd w:val="0"/>
        <w:spacing w:after="240" w:line="276" w:lineRule="auto"/>
        <w:jc w:val="both"/>
        <w:rPr>
          <w:rFonts w:ascii="Visby" w:hAnsi="Visby" w:cs="Baghdad"/>
          <w:color w:val="000000" w:themeColor="text1"/>
          <w:sz w:val="20"/>
          <w:szCs w:val="20"/>
        </w:rPr>
      </w:pPr>
      <w:r w:rsidRPr="003C6814">
        <w:rPr>
          <w:rFonts w:ascii="Visby" w:hAnsi="Visby" w:cs="Baghdad"/>
          <w:b/>
          <w:bCs/>
          <w:color w:val="000000" w:themeColor="text1"/>
          <w:sz w:val="20"/>
          <w:szCs w:val="20"/>
        </w:rPr>
        <w:t>G</w:t>
      </w:r>
      <w:r w:rsidR="00A65B9A">
        <w:rPr>
          <w:rFonts w:ascii="Visby" w:hAnsi="Visby" w:cs="Baghdad"/>
          <w:b/>
          <w:bCs/>
          <w:color w:val="000000" w:themeColor="text1"/>
          <w:sz w:val="20"/>
          <w:szCs w:val="20"/>
        </w:rPr>
        <w:t xml:space="preserve">rupo </w:t>
      </w:r>
      <w:proofErr w:type="spellStart"/>
      <w:r w:rsidR="00A65B9A">
        <w:rPr>
          <w:rFonts w:ascii="Visby" w:hAnsi="Visby" w:cs="Baghdad"/>
          <w:b/>
          <w:bCs/>
          <w:color w:val="000000" w:themeColor="text1"/>
          <w:sz w:val="20"/>
          <w:szCs w:val="20"/>
        </w:rPr>
        <w:t>G</w:t>
      </w:r>
      <w:r w:rsidRPr="003C6814">
        <w:rPr>
          <w:rFonts w:ascii="Visby" w:hAnsi="Visby" w:cs="Baghdad"/>
          <w:b/>
          <w:bCs/>
          <w:color w:val="000000" w:themeColor="text1"/>
          <w:sz w:val="20"/>
          <w:szCs w:val="20"/>
        </w:rPr>
        <w:t>esvalt</w:t>
      </w:r>
      <w:proofErr w:type="spellEnd"/>
      <w:r w:rsidRPr="003C6814">
        <w:rPr>
          <w:rFonts w:ascii="Visby" w:hAnsi="Visby" w:cs="Baghdad"/>
          <w:b/>
          <w:bCs/>
          <w:color w:val="000000" w:themeColor="text1"/>
          <w:sz w:val="20"/>
          <w:szCs w:val="20"/>
        </w:rPr>
        <w:t xml:space="preserve"> </w:t>
      </w:r>
      <w:r w:rsidRPr="003C6814">
        <w:rPr>
          <w:rFonts w:ascii="Visby" w:hAnsi="Visby" w:cs="Baghdad"/>
          <w:color w:val="000000" w:themeColor="text1"/>
          <w:sz w:val="20"/>
          <w:szCs w:val="20"/>
        </w:rPr>
        <w:t xml:space="preserve">es una compañía de referencia en el sector de la consultoría, valoración y actuaciones técnicas. Su experiencia de más de 30 años, un equipo de profesionales altamente cualificados y el firme compromiso por ofrecer un servicio de máxima calidad, son las claves para convertirse en socios estratégicos de las principales compañías privadas y entidades públicas. </w:t>
      </w:r>
    </w:p>
    <w:p w14:paraId="2BF586E4" w14:textId="77777777" w:rsidR="00476B9A" w:rsidRDefault="00476B9A" w:rsidP="00476B9A">
      <w:pPr>
        <w:widowControl w:val="0"/>
        <w:autoSpaceDE w:val="0"/>
        <w:autoSpaceDN w:val="0"/>
        <w:adjustRightInd w:val="0"/>
        <w:spacing w:after="240" w:line="276" w:lineRule="auto"/>
        <w:jc w:val="both"/>
        <w:rPr>
          <w:rFonts w:ascii="Visby Semibold" w:hAnsi="Visby Semibold" w:cs="Baghdad"/>
          <w:b/>
          <w:bCs/>
          <w:color w:val="000000" w:themeColor="text1"/>
          <w:sz w:val="20"/>
          <w:szCs w:val="20"/>
        </w:rPr>
      </w:pPr>
      <w:r w:rsidRPr="003C6814">
        <w:rPr>
          <w:rFonts w:ascii="Visby" w:hAnsi="Visby" w:cs="Baghdad"/>
          <w:color w:val="000000" w:themeColor="text1"/>
          <w:sz w:val="20"/>
          <w:szCs w:val="20"/>
        </w:rPr>
        <w:t xml:space="preserve">Cuenta con gran implantación de oficinas en España, Portugal y Colombia. Además, la firma forma parte del grupo internacional </w:t>
      </w:r>
      <w:proofErr w:type="spellStart"/>
      <w:r w:rsidRPr="003C6814">
        <w:rPr>
          <w:rFonts w:ascii="Visby" w:hAnsi="Visby" w:cs="Baghdad"/>
          <w:color w:val="000000" w:themeColor="text1"/>
          <w:sz w:val="20"/>
          <w:szCs w:val="20"/>
        </w:rPr>
        <w:t>Valuation</w:t>
      </w:r>
      <w:proofErr w:type="spellEnd"/>
      <w:r w:rsidRPr="003C6814">
        <w:rPr>
          <w:rFonts w:ascii="Visby" w:hAnsi="Visby" w:cs="Cambria"/>
          <w:color w:val="000000" w:themeColor="text1"/>
          <w:sz w:val="20"/>
          <w:szCs w:val="20"/>
        </w:rPr>
        <w:t xml:space="preserve"> </w:t>
      </w:r>
      <w:proofErr w:type="spellStart"/>
      <w:r w:rsidRPr="003C6814">
        <w:rPr>
          <w:rFonts w:ascii="Visby" w:hAnsi="Visby" w:cs="Baghdad"/>
          <w:color w:val="000000" w:themeColor="text1"/>
          <w:sz w:val="20"/>
          <w:szCs w:val="20"/>
        </w:rPr>
        <w:t>Research</w:t>
      </w:r>
      <w:proofErr w:type="spellEnd"/>
      <w:r w:rsidRPr="003C6814">
        <w:rPr>
          <w:rFonts w:ascii="Visby" w:hAnsi="Visby" w:cs="Cambria"/>
          <w:color w:val="000000" w:themeColor="text1"/>
          <w:sz w:val="20"/>
          <w:szCs w:val="20"/>
        </w:rPr>
        <w:t xml:space="preserve"> </w:t>
      </w:r>
      <w:r w:rsidRPr="003C6814">
        <w:rPr>
          <w:rFonts w:ascii="Visby" w:hAnsi="Visby" w:cs="Baghdad"/>
          <w:color w:val="000000" w:themeColor="text1"/>
          <w:sz w:val="20"/>
          <w:szCs w:val="20"/>
        </w:rPr>
        <w:t xml:space="preserve">Group (VRG) que le permite operar en más de 60 países del mundo, y de PRAXI </w:t>
      </w:r>
      <w:proofErr w:type="spellStart"/>
      <w:r w:rsidRPr="003C6814">
        <w:rPr>
          <w:rFonts w:ascii="Visby" w:hAnsi="Visby" w:cs="Baghdad"/>
          <w:color w:val="000000" w:themeColor="text1"/>
          <w:sz w:val="20"/>
          <w:szCs w:val="20"/>
        </w:rPr>
        <w:t>Valuations</w:t>
      </w:r>
      <w:proofErr w:type="spellEnd"/>
      <w:r w:rsidRPr="003C6814">
        <w:rPr>
          <w:rFonts w:ascii="Visby" w:hAnsi="Visby" w:cs="Baghdad"/>
          <w:color w:val="000000" w:themeColor="text1"/>
          <w:sz w:val="20"/>
          <w:szCs w:val="20"/>
        </w:rPr>
        <w:t>, la red especializada en la valoración de activos inmobiliarios, industriales y empresariales, con una sólida cobertura en toda Europa.</w:t>
      </w:r>
    </w:p>
    <w:p w14:paraId="0544A0C4" w14:textId="18D47626" w:rsidR="00476B9A" w:rsidRPr="003C6814" w:rsidRDefault="00476B9A" w:rsidP="00476B9A">
      <w:pPr>
        <w:widowControl w:val="0"/>
        <w:autoSpaceDE w:val="0"/>
        <w:autoSpaceDN w:val="0"/>
        <w:adjustRightInd w:val="0"/>
        <w:spacing w:after="60"/>
        <w:jc w:val="both"/>
        <w:rPr>
          <w:rFonts w:ascii="Visby Semibold" w:hAnsi="Visby Semibold" w:cs="Baghdad"/>
          <w:b/>
          <w:bCs/>
          <w:color w:val="000000" w:themeColor="text1"/>
          <w:sz w:val="20"/>
          <w:szCs w:val="20"/>
        </w:rPr>
      </w:pPr>
      <w:r w:rsidRPr="003C6814">
        <w:rPr>
          <w:rFonts w:ascii="Visby Semibold" w:hAnsi="Visby Semibold" w:cs="Baghdad"/>
          <w:b/>
          <w:bCs/>
          <w:color w:val="000000" w:themeColor="text1"/>
          <w:sz w:val="20"/>
          <w:szCs w:val="20"/>
        </w:rPr>
        <w:t xml:space="preserve">Gema Gómez </w:t>
      </w:r>
    </w:p>
    <w:p w14:paraId="34D82917" w14:textId="3865B89A" w:rsidR="00476B9A" w:rsidRPr="003C6814" w:rsidRDefault="00D90FC6" w:rsidP="00476B9A">
      <w:pPr>
        <w:widowControl w:val="0"/>
        <w:autoSpaceDE w:val="0"/>
        <w:autoSpaceDN w:val="0"/>
        <w:adjustRightInd w:val="0"/>
        <w:spacing w:after="60"/>
        <w:jc w:val="both"/>
        <w:rPr>
          <w:rFonts w:ascii="Visby" w:hAnsi="Visby" w:cs="Baghdad"/>
          <w:color w:val="000000" w:themeColor="text1"/>
          <w:sz w:val="20"/>
          <w:szCs w:val="20"/>
        </w:rPr>
      </w:pPr>
      <w:r w:rsidRPr="003C6814">
        <w:rPr>
          <w:noProof/>
          <w:sz w:val="20"/>
          <w:szCs w:val="20"/>
        </w:rPr>
        <mc:AlternateContent>
          <mc:Choice Requires="wps">
            <w:drawing>
              <wp:anchor distT="0" distB="0" distL="114300" distR="114300" simplePos="0" relativeHeight="251658241" behindDoc="0" locked="0" layoutInCell="1" allowOverlap="1" wp14:anchorId="28F775AB" wp14:editId="5795004F">
                <wp:simplePos x="0" y="0"/>
                <wp:positionH relativeFrom="page">
                  <wp:posOffset>-12700</wp:posOffset>
                </wp:positionH>
                <wp:positionV relativeFrom="page">
                  <wp:posOffset>8021955</wp:posOffset>
                </wp:positionV>
                <wp:extent cx="7330440" cy="2679700"/>
                <wp:effectExtent l="0" t="0" r="0" b="0"/>
                <wp:wrapNone/>
                <wp:docPr id="8" name="AutoShape 5">
                  <a:extLst xmlns:a="http://schemas.openxmlformats.org/drawingml/2006/main">
                    <a:ext uri="{FF2B5EF4-FFF2-40B4-BE49-F238E27FC236}">
                      <a16:creationId xmlns:a16="http://schemas.microsoft.com/office/drawing/2014/main" id="{7367BF8C-DCB2-482F-8774-E9AC2963FC3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30440" cy="2679700"/>
                        </a:xfrm>
                        <a:custGeom>
                          <a:avLst/>
                          <a:gdLst>
                            <a:gd name="T0" fmla="*/ 1164 w 11544"/>
                            <a:gd name="T1" fmla="+- 0 13338 12618"/>
                            <a:gd name="T2" fmla="*/ 13338 h 4220"/>
                            <a:gd name="T3" fmla="*/ 260 w 11544"/>
                            <a:gd name="T4" fmla="+- 0 13558 12618"/>
                            <a:gd name="T5" fmla="*/ 13558 h 4220"/>
                            <a:gd name="T6" fmla="*/ 0 w 11544"/>
                            <a:gd name="T7" fmla="+- 0 13658 12618"/>
                            <a:gd name="T8" fmla="*/ 13658 h 4220"/>
                            <a:gd name="T9" fmla="*/ 882 w 11544"/>
                            <a:gd name="T10" fmla="+- 0 16798 12618"/>
                            <a:gd name="T11" fmla="*/ 16798 h 4220"/>
                            <a:gd name="T12" fmla="*/ 981 w 11544"/>
                            <a:gd name="T13" fmla="+- 0 16618 12618"/>
                            <a:gd name="T14" fmla="*/ 16618 h 4220"/>
                            <a:gd name="T15" fmla="*/ 1096 w 11544"/>
                            <a:gd name="T16" fmla="+- 0 16458 12618"/>
                            <a:gd name="T17" fmla="*/ 16458 h 4220"/>
                            <a:gd name="T18" fmla="*/ 1227 w 11544"/>
                            <a:gd name="T19" fmla="+- 0 16318 12618"/>
                            <a:gd name="T20" fmla="*/ 16318 h 4220"/>
                            <a:gd name="T21" fmla="*/ 1376 w 11544"/>
                            <a:gd name="T22" fmla="+- 0 16198 12618"/>
                            <a:gd name="T23" fmla="*/ 16198 h 4220"/>
                            <a:gd name="T24" fmla="*/ 1540 w 11544"/>
                            <a:gd name="T25" fmla="+- 0 16078 12618"/>
                            <a:gd name="T26" fmla="*/ 16078 h 4220"/>
                            <a:gd name="T27" fmla="*/ 1720 w 11544"/>
                            <a:gd name="T28" fmla="+- 0 15978 12618"/>
                            <a:gd name="T29" fmla="*/ 15978 h 4220"/>
                            <a:gd name="T30" fmla="*/ 2054 w 11544"/>
                            <a:gd name="T31" fmla="+- 0 15858 12618"/>
                            <a:gd name="T32" fmla="*/ 15858 h 4220"/>
                            <a:gd name="T33" fmla="*/ 2352 w 11544"/>
                            <a:gd name="T34" fmla="+- 0 15798 12618"/>
                            <a:gd name="T35" fmla="*/ 15798 h 4220"/>
                            <a:gd name="T36" fmla="*/ 2675 w 11544"/>
                            <a:gd name="T37" fmla="+- 0 15778 12618"/>
                            <a:gd name="T38" fmla="*/ 15778 h 4220"/>
                            <a:gd name="T39" fmla="*/ 10440 w 11544"/>
                            <a:gd name="T40" fmla="+- 0 15738 12618"/>
                            <a:gd name="T41" fmla="*/ 15738 h 4220"/>
                            <a:gd name="T42" fmla="*/ 11094 w 11544"/>
                            <a:gd name="T43" fmla="+- 0 15358 12618"/>
                            <a:gd name="T44" fmla="*/ 15358 h 4220"/>
                            <a:gd name="T45" fmla="*/ 11351 w 11544"/>
                            <a:gd name="T46" fmla="+- 0 15138 12618"/>
                            <a:gd name="T47" fmla="*/ 15138 h 4220"/>
                            <a:gd name="T48" fmla="*/ 10803 w 11544"/>
                            <a:gd name="T49" fmla="+- 0 13838 12618"/>
                            <a:gd name="T50" fmla="*/ 13838 h 4220"/>
                            <a:gd name="T51" fmla="*/ 6715 w 11544"/>
                            <a:gd name="T52" fmla="+- 0 13818 12618"/>
                            <a:gd name="T53" fmla="*/ 13818 h 4220"/>
                            <a:gd name="T54" fmla="*/ 6505 w 11544"/>
                            <a:gd name="T55" fmla="+- 0 13778 12618"/>
                            <a:gd name="T56" fmla="*/ 13778 h 4220"/>
                            <a:gd name="T57" fmla="*/ 6121 w 11544"/>
                            <a:gd name="T58" fmla="+- 0 13718 12618"/>
                            <a:gd name="T59" fmla="*/ 13718 h 4220"/>
                            <a:gd name="T60" fmla="*/ 5680 w 11544"/>
                            <a:gd name="T61" fmla="+- 0 13598 12618"/>
                            <a:gd name="T62" fmla="*/ 13598 h 4220"/>
                            <a:gd name="T63" fmla="*/ 5195 w 11544"/>
                            <a:gd name="T64" fmla="+- 0 13478 12618"/>
                            <a:gd name="T65" fmla="*/ 13478 h 4220"/>
                            <a:gd name="T66" fmla="*/ 4427 w 11544"/>
                            <a:gd name="T67" fmla="+- 0 13318 12618"/>
                            <a:gd name="T68" fmla="*/ 13318 h 4220"/>
                            <a:gd name="T69" fmla="*/ 10373 w 11544"/>
                            <a:gd name="T70" fmla="+- 0 15758 12618"/>
                            <a:gd name="T71" fmla="*/ 15758 h 4220"/>
                            <a:gd name="T72" fmla="*/ 3184 w 11544"/>
                            <a:gd name="T73" fmla="+- 0 15778 12618"/>
                            <a:gd name="T74" fmla="*/ 15778 h 4220"/>
                            <a:gd name="T75" fmla="*/ 3496 w 11544"/>
                            <a:gd name="T76" fmla="+- 0 15838 12618"/>
                            <a:gd name="T77" fmla="*/ 15838 h 4220"/>
                            <a:gd name="T78" fmla="*/ 3850 w 11544"/>
                            <a:gd name="T79" fmla="+- 0 15938 12618"/>
                            <a:gd name="T80" fmla="*/ 15938 h 4220"/>
                            <a:gd name="T81" fmla="*/ 4104 w 11544"/>
                            <a:gd name="T82" fmla="+- 0 16038 12618"/>
                            <a:gd name="T83" fmla="*/ 16038 h 4220"/>
                            <a:gd name="T84" fmla="*/ 4276 w 11544"/>
                            <a:gd name="T85" fmla="+- 0 16158 12618"/>
                            <a:gd name="T86" fmla="*/ 16158 h 4220"/>
                            <a:gd name="T87" fmla="*/ 4432 w 11544"/>
                            <a:gd name="T88" fmla="+- 0 16278 12618"/>
                            <a:gd name="T89" fmla="*/ 16278 h 4220"/>
                            <a:gd name="T90" fmla="*/ 4571 w 11544"/>
                            <a:gd name="T91" fmla="+- 0 16418 12618"/>
                            <a:gd name="T92" fmla="*/ 16418 h 4220"/>
                            <a:gd name="T93" fmla="*/ 4694 w 11544"/>
                            <a:gd name="T94" fmla="+- 0 16558 12618"/>
                            <a:gd name="T95" fmla="*/ 16558 h 4220"/>
                            <a:gd name="T96" fmla="*/ 4801 w 11544"/>
                            <a:gd name="T97" fmla="+- 0 16738 12618"/>
                            <a:gd name="T98" fmla="*/ 16738 h 4220"/>
                            <a:gd name="T99" fmla="*/ 8569 w 11544"/>
                            <a:gd name="T100" fmla="+- 0 16838 12618"/>
                            <a:gd name="T101" fmla="*/ 16838 h 4220"/>
                            <a:gd name="T102" fmla="*/ 8479 w 11544"/>
                            <a:gd name="T103" fmla="+- 0 16658 12618"/>
                            <a:gd name="T104" fmla="*/ 16658 h 4220"/>
                            <a:gd name="T105" fmla="*/ 8370 w 11544"/>
                            <a:gd name="T106" fmla="+- 0 16458 12618"/>
                            <a:gd name="T107" fmla="*/ 16458 h 4220"/>
                            <a:gd name="T108" fmla="*/ 8248 w 11544"/>
                            <a:gd name="T109" fmla="+- 0 16258 12618"/>
                            <a:gd name="T110" fmla="*/ 16258 h 4220"/>
                            <a:gd name="T111" fmla="*/ 8111 w 11544"/>
                            <a:gd name="T112" fmla="+- 0 16058 12618"/>
                            <a:gd name="T113" fmla="*/ 16058 h 4220"/>
                            <a:gd name="T114" fmla="*/ 9815 w 11544"/>
                            <a:gd name="T115" fmla="+- 0 15938 12618"/>
                            <a:gd name="T116" fmla="*/ 15938 h 4220"/>
                            <a:gd name="T117" fmla="*/ 9368 w 11544"/>
                            <a:gd name="T118" fmla="+- 0 15998 12618"/>
                            <a:gd name="T119" fmla="*/ 15998 h 4220"/>
                            <a:gd name="T120" fmla="*/ 9290 w 11544"/>
                            <a:gd name="T121" fmla="+- 0 16018 12618"/>
                            <a:gd name="T122" fmla="*/ 16018 h 4220"/>
                            <a:gd name="T123" fmla="*/ 8203 w 11544"/>
                            <a:gd name="T124" fmla="+- 0 15958 12618"/>
                            <a:gd name="T125" fmla="*/ 15958 h 4220"/>
                            <a:gd name="T126" fmla="*/ 8439 w 11544"/>
                            <a:gd name="T127" fmla="+- 0 15998 12618"/>
                            <a:gd name="T128" fmla="*/ 15998 h 4220"/>
                            <a:gd name="T129" fmla="*/ 9815 w 11544"/>
                            <a:gd name="T130" fmla="+- 0 15938 12618"/>
                            <a:gd name="T131" fmla="*/ 15938 h 4220"/>
                            <a:gd name="T132" fmla="*/ 9743 w 11544"/>
                            <a:gd name="T133" fmla="+- 0 15958 12618"/>
                            <a:gd name="T134" fmla="*/ 15958 h 4220"/>
                            <a:gd name="T135" fmla="*/ 10010 w 11544"/>
                            <a:gd name="T136" fmla="+- 0 12618 12618"/>
                            <a:gd name="T137" fmla="*/ 12618 h 4220"/>
                            <a:gd name="T138" fmla="*/ 9821 w 11544"/>
                            <a:gd name="T139" fmla="+- 0 12778 12618"/>
                            <a:gd name="T140" fmla="*/ 12778 h 4220"/>
                            <a:gd name="T141" fmla="*/ 9559 w 11544"/>
                            <a:gd name="T142" fmla="+- 0 12998 12618"/>
                            <a:gd name="T143" fmla="*/ 12998 h 4220"/>
                            <a:gd name="T144" fmla="*/ 8941 w 11544"/>
                            <a:gd name="T145" fmla="+- 0 13378 12618"/>
                            <a:gd name="T146" fmla="*/ 13378 h 4220"/>
                            <a:gd name="T147" fmla="*/ 8656 w 11544"/>
                            <a:gd name="T148" fmla="+- 0 13498 12618"/>
                            <a:gd name="T149" fmla="*/ 13498 h 4220"/>
                            <a:gd name="T150" fmla="*/ 8439 w 11544"/>
                            <a:gd name="T151" fmla="+- 0 13598 12618"/>
                            <a:gd name="T152" fmla="*/ 13598 h 4220"/>
                            <a:gd name="T153" fmla="*/ 7553 w 11544"/>
                            <a:gd name="T154" fmla="+- 0 13818 12618"/>
                            <a:gd name="T155" fmla="*/ 13818 h 4220"/>
                            <a:gd name="T156" fmla="*/ 10803 w 11544"/>
                            <a:gd name="T157" fmla="+- 0 13838 12618"/>
                            <a:gd name="T158" fmla="*/ 13838 h 4220"/>
                            <a:gd name="T159" fmla="*/ 1566 w 11544"/>
                            <a:gd name="T160" fmla="+- 0 13258 12618"/>
                            <a:gd name="T161" fmla="*/ 13258 h 4220"/>
                            <a:gd name="T162" fmla="*/ 4039 w 11544"/>
                            <a:gd name="T163" fmla="+- 0 13258 12618"/>
                            <a:gd name="T164" fmla="*/ 13258 h 4220"/>
                            <a:gd name="T165" fmla="*/ 1648 w 11544"/>
                            <a:gd name="T166" fmla="+- 0 13258 12618"/>
                            <a:gd name="T167" fmla="*/ 13258 h 4220"/>
                            <a:gd name="T168" fmla="*/ 3740 w 11544"/>
                            <a:gd name="T169" fmla="+- 0 13218 12618"/>
                            <a:gd name="T170" fmla="*/ 13218 h 4220"/>
                            <a:gd name="T171" fmla="*/ 3814 w 11544"/>
                            <a:gd name="T172" fmla="+- 0 13238 12618"/>
                            <a:gd name="T173" fmla="*/ 13238 h 4220"/>
                            <a:gd name="T174" fmla="*/ 2069 w 11544"/>
                            <a:gd name="T175" fmla="+- 0 13198 12618"/>
                            <a:gd name="T176" fmla="*/ 13198 h 4220"/>
                            <a:gd name="T177" fmla="*/ 3593 w 11544"/>
                            <a:gd name="T178" fmla="+- 0 13198 12618"/>
                            <a:gd name="T179" fmla="*/ 13198 h 4220"/>
                            <a:gd name="T180" fmla="*/ 2241 w 11544"/>
                            <a:gd name="T181" fmla="+- 0 13198 12618"/>
                            <a:gd name="T182" fmla="*/ 13198 h 42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1544" h="4220">
                              <a:moveTo>
                                <a:pt x="4192" y="660"/>
                              </a:moveTo>
                              <a:lnTo>
                                <a:pt x="1403" y="660"/>
                              </a:lnTo>
                              <a:lnTo>
                                <a:pt x="1164" y="720"/>
                              </a:lnTo>
                              <a:lnTo>
                                <a:pt x="1085" y="720"/>
                              </a:lnTo>
                              <a:lnTo>
                                <a:pt x="852" y="780"/>
                              </a:lnTo>
                              <a:lnTo>
                                <a:pt x="260" y="940"/>
                              </a:lnTo>
                              <a:lnTo>
                                <a:pt x="189" y="980"/>
                              </a:lnTo>
                              <a:lnTo>
                                <a:pt x="49" y="1020"/>
                              </a:lnTo>
                              <a:lnTo>
                                <a:pt x="0" y="1040"/>
                              </a:lnTo>
                              <a:lnTo>
                                <a:pt x="0" y="4220"/>
                              </a:lnTo>
                              <a:lnTo>
                                <a:pt x="855" y="4220"/>
                              </a:lnTo>
                              <a:lnTo>
                                <a:pt x="882" y="4180"/>
                              </a:lnTo>
                              <a:lnTo>
                                <a:pt x="913" y="4120"/>
                              </a:lnTo>
                              <a:lnTo>
                                <a:pt x="946" y="4060"/>
                              </a:lnTo>
                              <a:lnTo>
                                <a:pt x="981" y="4000"/>
                              </a:lnTo>
                              <a:lnTo>
                                <a:pt x="1017" y="3940"/>
                              </a:lnTo>
                              <a:lnTo>
                                <a:pt x="1055" y="3900"/>
                              </a:lnTo>
                              <a:lnTo>
                                <a:pt x="1096" y="3840"/>
                              </a:lnTo>
                              <a:lnTo>
                                <a:pt x="1138" y="3800"/>
                              </a:lnTo>
                              <a:lnTo>
                                <a:pt x="1182" y="3740"/>
                              </a:lnTo>
                              <a:lnTo>
                                <a:pt x="1227" y="3700"/>
                              </a:lnTo>
                              <a:lnTo>
                                <a:pt x="1275" y="3660"/>
                              </a:lnTo>
                              <a:lnTo>
                                <a:pt x="1324" y="3620"/>
                              </a:lnTo>
                              <a:lnTo>
                                <a:pt x="1376" y="3580"/>
                              </a:lnTo>
                              <a:lnTo>
                                <a:pt x="1429" y="3540"/>
                              </a:lnTo>
                              <a:lnTo>
                                <a:pt x="1483" y="3500"/>
                              </a:lnTo>
                              <a:lnTo>
                                <a:pt x="1540" y="3460"/>
                              </a:lnTo>
                              <a:lnTo>
                                <a:pt x="1598" y="3420"/>
                              </a:lnTo>
                              <a:lnTo>
                                <a:pt x="1658" y="3400"/>
                              </a:lnTo>
                              <a:lnTo>
                                <a:pt x="1720" y="3360"/>
                              </a:lnTo>
                              <a:lnTo>
                                <a:pt x="1848" y="3320"/>
                              </a:lnTo>
                              <a:lnTo>
                                <a:pt x="1915" y="3280"/>
                              </a:lnTo>
                              <a:lnTo>
                                <a:pt x="2054" y="3240"/>
                              </a:lnTo>
                              <a:lnTo>
                                <a:pt x="2126" y="3220"/>
                              </a:lnTo>
                              <a:lnTo>
                                <a:pt x="2200" y="3220"/>
                              </a:lnTo>
                              <a:lnTo>
                                <a:pt x="2352" y="3180"/>
                              </a:lnTo>
                              <a:lnTo>
                                <a:pt x="2430" y="3180"/>
                              </a:lnTo>
                              <a:lnTo>
                                <a:pt x="2510" y="3160"/>
                              </a:lnTo>
                              <a:lnTo>
                                <a:pt x="2675" y="3160"/>
                              </a:lnTo>
                              <a:lnTo>
                                <a:pt x="2760" y="3140"/>
                              </a:lnTo>
                              <a:lnTo>
                                <a:pt x="10373" y="3140"/>
                              </a:lnTo>
                              <a:lnTo>
                                <a:pt x="10440" y="3120"/>
                              </a:lnTo>
                              <a:lnTo>
                                <a:pt x="10507" y="3080"/>
                              </a:lnTo>
                              <a:lnTo>
                                <a:pt x="10573" y="3060"/>
                              </a:lnTo>
                              <a:lnTo>
                                <a:pt x="11094" y="2740"/>
                              </a:lnTo>
                              <a:lnTo>
                                <a:pt x="11158" y="2680"/>
                              </a:lnTo>
                              <a:lnTo>
                                <a:pt x="11223" y="2640"/>
                              </a:lnTo>
                              <a:lnTo>
                                <a:pt x="11351" y="2520"/>
                              </a:lnTo>
                              <a:lnTo>
                                <a:pt x="11415" y="2480"/>
                              </a:lnTo>
                              <a:lnTo>
                                <a:pt x="11544" y="2360"/>
                              </a:lnTo>
                              <a:lnTo>
                                <a:pt x="10803" y="1220"/>
                              </a:lnTo>
                              <a:lnTo>
                                <a:pt x="6914" y="1220"/>
                              </a:lnTo>
                              <a:lnTo>
                                <a:pt x="6849" y="1200"/>
                              </a:lnTo>
                              <a:lnTo>
                                <a:pt x="6715" y="1200"/>
                              </a:lnTo>
                              <a:lnTo>
                                <a:pt x="6646" y="1180"/>
                              </a:lnTo>
                              <a:lnTo>
                                <a:pt x="6576" y="1180"/>
                              </a:lnTo>
                              <a:lnTo>
                                <a:pt x="6505" y="1160"/>
                              </a:lnTo>
                              <a:lnTo>
                                <a:pt x="6432" y="1160"/>
                              </a:lnTo>
                              <a:lnTo>
                                <a:pt x="6202" y="1100"/>
                              </a:lnTo>
                              <a:lnTo>
                                <a:pt x="6121" y="1100"/>
                              </a:lnTo>
                              <a:lnTo>
                                <a:pt x="5953" y="1060"/>
                              </a:lnTo>
                              <a:lnTo>
                                <a:pt x="5774" y="1020"/>
                              </a:lnTo>
                              <a:lnTo>
                                <a:pt x="5680" y="980"/>
                              </a:lnTo>
                              <a:lnTo>
                                <a:pt x="5381" y="920"/>
                              </a:lnTo>
                              <a:lnTo>
                                <a:pt x="5287" y="900"/>
                              </a:lnTo>
                              <a:lnTo>
                                <a:pt x="5195" y="860"/>
                              </a:lnTo>
                              <a:lnTo>
                                <a:pt x="4840" y="780"/>
                              </a:lnTo>
                              <a:lnTo>
                                <a:pt x="4755" y="780"/>
                              </a:lnTo>
                              <a:lnTo>
                                <a:pt x="4427" y="700"/>
                              </a:lnTo>
                              <a:lnTo>
                                <a:pt x="4348" y="700"/>
                              </a:lnTo>
                              <a:lnTo>
                                <a:pt x="4192" y="660"/>
                              </a:lnTo>
                              <a:close/>
                              <a:moveTo>
                                <a:pt x="10373" y="3140"/>
                              </a:moveTo>
                              <a:lnTo>
                                <a:pt x="2933" y="3140"/>
                              </a:lnTo>
                              <a:lnTo>
                                <a:pt x="3018" y="3160"/>
                              </a:lnTo>
                              <a:lnTo>
                                <a:pt x="3184" y="3160"/>
                              </a:lnTo>
                              <a:lnTo>
                                <a:pt x="3264" y="3180"/>
                              </a:lnTo>
                              <a:lnTo>
                                <a:pt x="3343" y="3180"/>
                              </a:lnTo>
                              <a:lnTo>
                                <a:pt x="3496" y="3220"/>
                              </a:lnTo>
                              <a:lnTo>
                                <a:pt x="3570" y="3220"/>
                              </a:lnTo>
                              <a:lnTo>
                                <a:pt x="3783" y="3280"/>
                              </a:lnTo>
                              <a:lnTo>
                                <a:pt x="3850" y="3320"/>
                              </a:lnTo>
                              <a:lnTo>
                                <a:pt x="3980" y="3360"/>
                              </a:lnTo>
                              <a:lnTo>
                                <a:pt x="4043" y="3400"/>
                              </a:lnTo>
                              <a:lnTo>
                                <a:pt x="4104" y="3420"/>
                              </a:lnTo>
                              <a:lnTo>
                                <a:pt x="4163" y="3460"/>
                              </a:lnTo>
                              <a:lnTo>
                                <a:pt x="4220" y="3500"/>
                              </a:lnTo>
                              <a:lnTo>
                                <a:pt x="4276" y="3540"/>
                              </a:lnTo>
                              <a:lnTo>
                                <a:pt x="4329" y="3580"/>
                              </a:lnTo>
                              <a:lnTo>
                                <a:pt x="4381" y="3620"/>
                              </a:lnTo>
                              <a:lnTo>
                                <a:pt x="4432" y="3660"/>
                              </a:lnTo>
                              <a:lnTo>
                                <a:pt x="4480" y="3700"/>
                              </a:lnTo>
                              <a:lnTo>
                                <a:pt x="4527" y="3740"/>
                              </a:lnTo>
                              <a:lnTo>
                                <a:pt x="4571" y="3800"/>
                              </a:lnTo>
                              <a:lnTo>
                                <a:pt x="4614" y="3840"/>
                              </a:lnTo>
                              <a:lnTo>
                                <a:pt x="4655" y="3900"/>
                              </a:lnTo>
                              <a:lnTo>
                                <a:pt x="4694" y="3940"/>
                              </a:lnTo>
                              <a:lnTo>
                                <a:pt x="4732" y="4000"/>
                              </a:lnTo>
                              <a:lnTo>
                                <a:pt x="4767" y="4060"/>
                              </a:lnTo>
                              <a:lnTo>
                                <a:pt x="4801" y="4120"/>
                              </a:lnTo>
                              <a:lnTo>
                                <a:pt x="4832" y="4180"/>
                              </a:lnTo>
                              <a:lnTo>
                                <a:pt x="4860" y="4220"/>
                              </a:lnTo>
                              <a:lnTo>
                                <a:pt x="8569" y="4220"/>
                              </a:lnTo>
                              <a:lnTo>
                                <a:pt x="8543" y="4160"/>
                              </a:lnTo>
                              <a:lnTo>
                                <a:pt x="8511" y="4100"/>
                              </a:lnTo>
                              <a:lnTo>
                                <a:pt x="8479" y="4040"/>
                              </a:lnTo>
                              <a:lnTo>
                                <a:pt x="8444" y="3960"/>
                              </a:lnTo>
                              <a:lnTo>
                                <a:pt x="8408" y="3900"/>
                              </a:lnTo>
                              <a:lnTo>
                                <a:pt x="8370" y="3840"/>
                              </a:lnTo>
                              <a:lnTo>
                                <a:pt x="8331" y="3760"/>
                              </a:lnTo>
                              <a:lnTo>
                                <a:pt x="8290" y="3700"/>
                              </a:lnTo>
                              <a:lnTo>
                                <a:pt x="8248" y="3640"/>
                              </a:lnTo>
                              <a:lnTo>
                                <a:pt x="8204" y="3580"/>
                              </a:lnTo>
                              <a:lnTo>
                                <a:pt x="8158" y="3500"/>
                              </a:lnTo>
                              <a:lnTo>
                                <a:pt x="8111" y="3440"/>
                              </a:lnTo>
                              <a:lnTo>
                                <a:pt x="8062" y="3380"/>
                              </a:lnTo>
                              <a:lnTo>
                                <a:pt x="8011" y="3320"/>
                              </a:lnTo>
                              <a:lnTo>
                                <a:pt x="9815" y="3320"/>
                              </a:lnTo>
                              <a:lnTo>
                                <a:pt x="10305" y="3180"/>
                              </a:lnTo>
                              <a:lnTo>
                                <a:pt x="10373" y="3140"/>
                              </a:lnTo>
                              <a:close/>
                              <a:moveTo>
                                <a:pt x="9368" y="3380"/>
                              </a:moveTo>
                              <a:lnTo>
                                <a:pt x="8611" y="3380"/>
                              </a:lnTo>
                              <a:lnTo>
                                <a:pt x="8700" y="3400"/>
                              </a:lnTo>
                              <a:lnTo>
                                <a:pt x="9290" y="3400"/>
                              </a:lnTo>
                              <a:lnTo>
                                <a:pt x="9368" y="3380"/>
                              </a:lnTo>
                              <a:close/>
                              <a:moveTo>
                                <a:pt x="9669" y="3340"/>
                              </a:moveTo>
                              <a:lnTo>
                                <a:pt x="8203" y="3340"/>
                              </a:lnTo>
                              <a:lnTo>
                                <a:pt x="8278" y="3360"/>
                              </a:lnTo>
                              <a:lnTo>
                                <a:pt x="8357" y="3360"/>
                              </a:lnTo>
                              <a:lnTo>
                                <a:pt x="8439" y="3380"/>
                              </a:lnTo>
                              <a:lnTo>
                                <a:pt x="9520" y="3380"/>
                              </a:lnTo>
                              <a:lnTo>
                                <a:pt x="9669" y="3340"/>
                              </a:lnTo>
                              <a:close/>
                              <a:moveTo>
                                <a:pt x="9815" y="3320"/>
                              </a:moveTo>
                              <a:lnTo>
                                <a:pt x="8069" y="3320"/>
                              </a:lnTo>
                              <a:lnTo>
                                <a:pt x="8134" y="3340"/>
                              </a:lnTo>
                              <a:lnTo>
                                <a:pt x="9743" y="3340"/>
                              </a:lnTo>
                              <a:lnTo>
                                <a:pt x="9815" y="3320"/>
                              </a:lnTo>
                              <a:close/>
                              <a:moveTo>
                                <a:pt x="10010" y="0"/>
                              </a:moveTo>
                              <a:lnTo>
                                <a:pt x="10010" y="0"/>
                              </a:lnTo>
                              <a:lnTo>
                                <a:pt x="9948" y="60"/>
                              </a:lnTo>
                              <a:lnTo>
                                <a:pt x="9884" y="120"/>
                              </a:lnTo>
                              <a:lnTo>
                                <a:pt x="9821" y="160"/>
                              </a:lnTo>
                              <a:lnTo>
                                <a:pt x="9691" y="280"/>
                              </a:lnTo>
                              <a:lnTo>
                                <a:pt x="9626" y="320"/>
                              </a:lnTo>
                              <a:lnTo>
                                <a:pt x="9559" y="380"/>
                              </a:lnTo>
                              <a:lnTo>
                                <a:pt x="9358" y="500"/>
                              </a:lnTo>
                              <a:lnTo>
                                <a:pt x="9289" y="560"/>
                              </a:lnTo>
                              <a:lnTo>
                                <a:pt x="8941" y="760"/>
                              </a:lnTo>
                              <a:lnTo>
                                <a:pt x="8870" y="780"/>
                              </a:lnTo>
                              <a:lnTo>
                                <a:pt x="8728" y="860"/>
                              </a:lnTo>
                              <a:lnTo>
                                <a:pt x="8656" y="880"/>
                              </a:lnTo>
                              <a:lnTo>
                                <a:pt x="8584" y="920"/>
                              </a:lnTo>
                              <a:lnTo>
                                <a:pt x="8511" y="940"/>
                              </a:lnTo>
                              <a:lnTo>
                                <a:pt x="8439" y="980"/>
                              </a:lnTo>
                              <a:lnTo>
                                <a:pt x="7776" y="1160"/>
                              </a:lnTo>
                              <a:lnTo>
                                <a:pt x="7701" y="1160"/>
                              </a:lnTo>
                              <a:lnTo>
                                <a:pt x="7553" y="1200"/>
                              </a:lnTo>
                              <a:lnTo>
                                <a:pt x="7404" y="1200"/>
                              </a:lnTo>
                              <a:lnTo>
                                <a:pt x="7329" y="1220"/>
                              </a:lnTo>
                              <a:lnTo>
                                <a:pt x="10803" y="1220"/>
                              </a:lnTo>
                              <a:lnTo>
                                <a:pt x="10010" y="0"/>
                              </a:lnTo>
                              <a:close/>
                              <a:moveTo>
                                <a:pt x="4039" y="640"/>
                              </a:moveTo>
                              <a:lnTo>
                                <a:pt x="1566" y="640"/>
                              </a:lnTo>
                              <a:lnTo>
                                <a:pt x="1484" y="660"/>
                              </a:lnTo>
                              <a:lnTo>
                                <a:pt x="4115" y="660"/>
                              </a:lnTo>
                              <a:lnTo>
                                <a:pt x="4039" y="640"/>
                              </a:lnTo>
                              <a:close/>
                              <a:moveTo>
                                <a:pt x="3889" y="620"/>
                              </a:moveTo>
                              <a:lnTo>
                                <a:pt x="1731" y="620"/>
                              </a:lnTo>
                              <a:lnTo>
                                <a:pt x="1648" y="640"/>
                              </a:lnTo>
                              <a:lnTo>
                                <a:pt x="3964" y="640"/>
                              </a:lnTo>
                              <a:lnTo>
                                <a:pt x="3889" y="620"/>
                              </a:lnTo>
                              <a:close/>
                              <a:moveTo>
                                <a:pt x="3740" y="600"/>
                              </a:moveTo>
                              <a:lnTo>
                                <a:pt x="1899" y="600"/>
                              </a:lnTo>
                              <a:lnTo>
                                <a:pt x="1815" y="620"/>
                              </a:lnTo>
                              <a:lnTo>
                                <a:pt x="3814" y="620"/>
                              </a:lnTo>
                              <a:lnTo>
                                <a:pt x="3740" y="600"/>
                              </a:lnTo>
                              <a:close/>
                              <a:moveTo>
                                <a:pt x="3593" y="580"/>
                              </a:moveTo>
                              <a:lnTo>
                                <a:pt x="2069" y="580"/>
                              </a:lnTo>
                              <a:lnTo>
                                <a:pt x="1984" y="600"/>
                              </a:lnTo>
                              <a:lnTo>
                                <a:pt x="3667" y="600"/>
                              </a:lnTo>
                              <a:lnTo>
                                <a:pt x="3593" y="580"/>
                              </a:lnTo>
                              <a:close/>
                              <a:moveTo>
                                <a:pt x="3302" y="560"/>
                              </a:moveTo>
                              <a:lnTo>
                                <a:pt x="2328" y="560"/>
                              </a:lnTo>
                              <a:lnTo>
                                <a:pt x="2241" y="580"/>
                              </a:lnTo>
                              <a:lnTo>
                                <a:pt x="3375" y="580"/>
                              </a:lnTo>
                              <a:lnTo>
                                <a:pt x="3302" y="560"/>
                              </a:lnTo>
                              <a:close/>
                            </a:path>
                          </a:pathLst>
                        </a:custGeom>
                        <a:solidFill>
                          <a:srgbClr val="2077BD">
                            <a:alpha val="6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B9ADB" id="AutoShape 5" o:spid="_x0000_s1026" style="position:absolute;margin-left:-1pt;margin-top:631.65pt;width:577.2pt;height:21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44,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" path="m4192,660r-2789,l1164,720r-79,l852,780,260,940r-71,40l49,1020,,1040,,4220r855,l882,4180r31,-60l946,4060r35,-60l1017,3940r38,-40l1096,3840r42,-40l1182,3740r45,-40l1275,3660r49,-40l1376,3580r53,-40l1483,3500r57,-40l1598,3420r60,-20l1720,3360r128,-40l1915,3280r139,-40l2126,3220r74,l2352,3180r78,l2510,3160r165,l2760,3140r7613,l10440,3120r67,-40l10573,3060r521,-320l11158,2680r65,-40l11351,2520r64,-40l11544,2360,10803,1220r-3889,l6849,1200r-134,l6646,1180r-70,l6505,1160r-73,l6202,1100r-81,l5953,1060r-179,-40l5680,980,5381,920r-94,-20l5195,860,4840,780r-85,l4427,700r-79,l4192,660xm10373,3140r-7440,l3018,3160r166,l3264,3180r79,l3496,3220r74,l3783,3280r67,40l3980,3360r63,40l4104,3420r59,40l4220,3500r56,40l4329,3580r52,40l4432,3660r48,40l4527,3740r44,60l4614,3840r41,60l4694,3940r38,60l4767,4060r34,60l4832,4180r28,40l8569,4220r-26,-60l8511,4100r-32,-60l8444,3960r-36,-60l8370,3840r-39,-80l8290,3700r-42,-60l8204,3580r-46,-80l8111,3440r-49,-60l8011,3320r1804,l10305,3180r68,-40xm9368,3380r-757,l8700,3400r590,l9368,3380xm9669,3340r-1466,l8278,3360r79,l8439,3380r1081,l9669,3340xm9815,3320r-1746,l8134,3340r1609,l9815,3320xm10010,r,l9948,60r-64,60l9821,160,9691,280r-65,40l9559,380,9358,500r-69,60l8941,760r-71,20l8728,860r-72,20l8584,920r-73,20l8439,980r-663,180l7701,1160r-148,40l7404,1200r-75,20l10803,1220,10010,xm4039,640r-2473,l1484,660r2631,l4039,640xm3889,620r-2158,l1648,640r2316,l3889,620xm3740,600r-1841,l1815,620r1999,l3740,600xm3593,580r-1524,l1984,600r1683,l3593,580xm3302,560r-974,l2241,580r1134,l3302,560xe" fillcolor="#2077bd" stroked="f">
                <v:fill opacity="3855f"/>
                <v:path arrowok="t" o:connecttype="custom" o:connectlocs="739140,8469630;165100,8609330;0,8672830;560070,10666730;622935,10552430;695960,10450830;779145,10361930;873760,10285730;977900,10209530;1092200,10146030;1304290,10069830;1493520,10031730;1698625,10019030;6629400,9993630;7044690,9752330;7207885,9612630;6859905,8787130;4264025,8774430;4130675,8749030;3886835,8710930;3606800,8634730;3298825,8558530;2811145,8456930;6586855,10006330;2021840,10019030;2219960,10057130;2444750,10120630;2606040,10184130;2715260,10260330;2814320,10336530;2902585,10425430;2980690,10514330;3048635,10628630;5441315,10692130;5384165,10577830;5314950,10450830;5237480,10323830;5150485,10196830;6232525,10120630;5948680,10158730;5899150,10171430;5208905,10133330;5358765,10158730;6232525,10120630;6186805,10133330;6356350,8012430;6236335,8114030;6069965,8253730;5677535,8495030;5496560,8571230;5358765,8634730;4796155,8774430;6859905,8787130;994410,8418830;2564765,8418830;1046480,8418830;2374900,8393430;2421890,8406130;1313815,8380730;2281555,8380730;1423035,8380730" o:connectangles="0,0,0,0,0,0,0,0,0,0,0,0,0,0,0,0,0,0,0,0,0,0,0,0,0,0,0,0,0,0,0,0,0,0,0,0,0,0,0,0,0,0,0,0,0,0,0,0,0,0,0,0,0,0,0,0,0,0,0,0,0"/>
                <w10:wrap anchorx="page" anchory="page"/>
              </v:shape>
            </w:pict>
          </mc:Fallback>
        </mc:AlternateContent>
      </w:r>
      <w:hyperlink r:id="rId10" w:history="1">
        <w:r w:rsidR="00476B9A" w:rsidRPr="003C6814">
          <w:rPr>
            <w:rStyle w:val="Hipervnculo"/>
            <w:rFonts w:ascii="Visby" w:hAnsi="Visby" w:cs="Baghdad"/>
            <w:sz w:val="20"/>
            <w:szCs w:val="20"/>
          </w:rPr>
          <w:t>ggomez@gesvalt.es</w:t>
        </w:r>
      </w:hyperlink>
      <w:r w:rsidR="00476B9A" w:rsidRPr="003C6814">
        <w:rPr>
          <w:rFonts w:ascii="Visby" w:hAnsi="Visby" w:cs="Baghdad"/>
          <w:color w:val="000000" w:themeColor="text1"/>
          <w:sz w:val="20"/>
          <w:szCs w:val="20"/>
        </w:rPr>
        <w:t xml:space="preserve"> · 914 576 057</w:t>
      </w:r>
    </w:p>
    <w:p w14:paraId="63AD1F6F" w14:textId="54BB99F9" w:rsidR="00476B9A" w:rsidRPr="003C6814" w:rsidRDefault="00476B9A" w:rsidP="00476B9A">
      <w:pPr>
        <w:widowControl w:val="0"/>
        <w:autoSpaceDE w:val="0"/>
        <w:autoSpaceDN w:val="0"/>
        <w:adjustRightInd w:val="0"/>
        <w:spacing w:after="60"/>
        <w:jc w:val="both"/>
        <w:rPr>
          <w:rFonts w:ascii="Visby" w:hAnsi="Visby" w:cs="Baghdad"/>
          <w:color w:val="000000" w:themeColor="text1"/>
          <w:sz w:val="20"/>
          <w:szCs w:val="20"/>
        </w:rPr>
      </w:pPr>
      <w:r w:rsidRPr="003C6814">
        <w:rPr>
          <w:rFonts w:ascii="Visby" w:hAnsi="Visby" w:cs="Baghdad"/>
          <w:color w:val="000000" w:themeColor="text1"/>
          <w:sz w:val="20"/>
          <w:szCs w:val="20"/>
        </w:rPr>
        <w:t>Paseo de la Castellana, 164, 28046 – Madrid</w:t>
      </w:r>
    </w:p>
    <w:p w14:paraId="039BDB7D" w14:textId="122278A0" w:rsidR="00476B9A" w:rsidRPr="003C6814" w:rsidRDefault="00476B9A" w:rsidP="00476B9A">
      <w:pPr>
        <w:widowControl w:val="0"/>
        <w:autoSpaceDE w:val="0"/>
        <w:autoSpaceDN w:val="0"/>
        <w:adjustRightInd w:val="0"/>
        <w:spacing w:after="60"/>
        <w:jc w:val="both"/>
        <w:rPr>
          <w:rFonts w:ascii="Visby" w:hAnsi="Visby" w:cs="Baghdad"/>
          <w:color w:val="000000" w:themeColor="text1"/>
          <w:sz w:val="20"/>
          <w:szCs w:val="20"/>
        </w:rPr>
      </w:pPr>
    </w:p>
    <w:p w14:paraId="0D400F0C" w14:textId="5E3F49CA" w:rsidR="00476B9A" w:rsidRPr="005532A6" w:rsidRDefault="00476B9A" w:rsidP="00476B9A">
      <w:pPr>
        <w:widowControl w:val="0"/>
        <w:autoSpaceDE w:val="0"/>
        <w:autoSpaceDN w:val="0"/>
        <w:adjustRightInd w:val="0"/>
        <w:spacing w:after="60"/>
        <w:jc w:val="both"/>
        <w:rPr>
          <w:rFonts w:ascii="Visby Semibold" w:hAnsi="Visby Semibold" w:cs="Baghdad"/>
          <w:b/>
          <w:bCs/>
          <w:color w:val="000000" w:themeColor="text1"/>
          <w:sz w:val="20"/>
          <w:szCs w:val="20"/>
          <w:lang w:val="pt-BR"/>
        </w:rPr>
      </w:pPr>
      <w:r w:rsidRPr="005532A6">
        <w:rPr>
          <w:rFonts w:ascii="Visby Semibold" w:hAnsi="Visby Semibold" w:cs="Baghdad"/>
          <w:b/>
          <w:bCs/>
          <w:color w:val="000000" w:themeColor="text1"/>
          <w:sz w:val="20"/>
          <w:szCs w:val="20"/>
          <w:lang w:val="pt-BR"/>
        </w:rPr>
        <w:t>Beatriz Portero                     Marina Díez</w:t>
      </w:r>
    </w:p>
    <w:p w14:paraId="6D8E0185" w14:textId="32CFDFB8" w:rsidR="00476B9A" w:rsidRPr="005532A6" w:rsidRDefault="00476B9A" w:rsidP="00476B9A">
      <w:pPr>
        <w:widowControl w:val="0"/>
        <w:autoSpaceDE w:val="0"/>
        <w:autoSpaceDN w:val="0"/>
        <w:adjustRightInd w:val="0"/>
        <w:spacing w:after="60"/>
        <w:jc w:val="both"/>
        <w:rPr>
          <w:rFonts w:ascii="Visby" w:hAnsi="Visby" w:cs="Baghdad"/>
          <w:color w:val="000000" w:themeColor="text1"/>
          <w:sz w:val="20"/>
          <w:szCs w:val="20"/>
          <w:lang w:val="pt-BR"/>
        </w:rPr>
      </w:pPr>
      <w:hyperlink r:id="rId11" w:history="1">
        <w:r w:rsidRPr="00CE155E">
          <w:rPr>
            <w:rStyle w:val="Hipervnculo"/>
            <w:rFonts w:ascii="Visby" w:hAnsi="Visby" w:cs="Baghdad"/>
            <w:sz w:val="20"/>
            <w:szCs w:val="20"/>
            <w:lang w:val="pt-BR"/>
          </w:rPr>
          <w:t>bportero@kreab.com</w:t>
        </w:r>
      </w:hyperlink>
      <w:r w:rsidRPr="005532A6">
        <w:rPr>
          <w:rFonts w:ascii="Visby" w:hAnsi="Visby" w:cs="Baghdad"/>
          <w:color w:val="000000" w:themeColor="text1"/>
          <w:sz w:val="20"/>
          <w:szCs w:val="20"/>
          <w:lang w:val="pt-BR"/>
        </w:rPr>
        <w:t xml:space="preserve">        </w:t>
      </w:r>
      <w:hyperlink r:id="rId12" w:history="1">
        <w:r w:rsidRPr="005532A6">
          <w:rPr>
            <w:rStyle w:val="Hipervnculo"/>
            <w:rFonts w:ascii="Visby" w:hAnsi="Visby" w:cs="Baghdad"/>
            <w:sz w:val="20"/>
            <w:szCs w:val="20"/>
            <w:lang w:val="pt-BR"/>
          </w:rPr>
          <w:t>mdiez@kreab.com</w:t>
        </w:r>
      </w:hyperlink>
    </w:p>
    <w:p w14:paraId="7BDD3410" w14:textId="4B516740" w:rsidR="00476B9A" w:rsidRPr="005532A6" w:rsidRDefault="00476B9A" w:rsidP="00476B9A">
      <w:pPr>
        <w:pStyle w:val="NormalWeb"/>
        <w:spacing w:after="0"/>
        <w:jc w:val="both"/>
        <w:rPr>
          <w:rFonts w:ascii="Visby" w:hAnsi="Visby" w:cs="Baghdad"/>
          <w:color w:val="000000" w:themeColor="text1"/>
          <w:sz w:val="20"/>
          <w:szCs w:val="20"/>
          <w:lang w:val="pt-BR"/>
        </w:rPr>
      </w:pPr>
      <w:r>
        <w:rPr>
          <w:noProof/>
          <w:sz w:val="20"/>
          <w:szCs w:val="20"/>
        </w:rPr>
        <w:drawing>
          <wp:anchor distT="0" distB="0" distL="114300" distR="114300" simplePos="0" relativeHeight="251658240" behindDoc="0" locked="0" layoutInCell="1" allowOverlap="1" wp14:anchorId="147F5157" wp14:editId="278CA25E">
            <wp:simplePos x="0" y="0"/>
            <wp:positionH relativeFrom="column">
              <wp:posOffset>-133985</wp:posOffset>
            </wp:positionH>
            <wp:positionV relativeFrom="paragraph">
              <wp:posOffset>458470</wp:posOffset>
            </wp:positionV>
            <wp:extent cx="1301750" cy="354522"/>
            <wp:effectExtent l="0" t="0" r="0" b="0"/>
            <wp:wrapSquare wrapText="bothSides"/>
            <wp:docPr id="390211015" name="Imagen 1">
              <a:extLst xmlns:a="http://schemas.openxmlformats.org/drawingml/2006/main">
                <a:ext uri="{FF2B5EF4-FFF2-40B4-BE49-F238E27FC236}">
                  <a16:creationId xmlns:a16="http://schemas.microsoft.com/office/drawing/2014/main" id="{DD83AB89-E2A2-45C9-BD8B-0337720EE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11015" name="Imagen 3902110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1750" cy="354522"/>
                    </a:xfrm>
                    <a:prstGeom prst="rect">
                      <a:avLst/>
                    </a:prstGeom>
                  </pic:spPr>
                </pic:pic>
              </a:graphicData>
            </a:graphic>
          </wp:anchor>
        </w:drawing>
      </w:r>
      <w:r w:rsidRPr="005532A6">
        <w:rPr>
          <w:rFonts w:ascii="Visby" w:hAnsi="Visby" w:cs="Baghdad"/>
          <w:color w:val="000000" w:themeColor="text1"/>
          <w:sz w:val="20"/>
          <w:szCs w:val="20"/>
          <w:lang w:val="pt-BR"/>
        </w:rPr>
        <w:t xml:space="preserve"> </w:t>
      </w:r>
      <w:hyperlink r:id="rId14" w:tgtFrame="_blank" w:history="1">
        <w:r w:rsidRPr="00A92272">
          <w:rPr>
            <w:rFonts w:ascii="Visby" w:hAnsi="Visby" w:cs="Baghdad"/>
            <w:color w:val="000000" w:themeColor="text1"/>
            <w:sz w:val="20"/>
            <w:szCs w:val="20"/>
            <w:lang w:val="pt-BR"/>
          </w:rPr>
          <w:t>692</w:t>
        </w:r>
        <w:r>
          <w:rPr>
            <w:rFonts w:ascii="Visby" w:hAnsi="Visby" w:cs="Baghdad"/>
            <w:color w:val="000000" w:themeColor="text1"/>
            <w:sz w:val="20"/>
            <w:szCs w:val="20"/>
            <w:lang w:val="pt-BR"/>
          </w:rPr>
          <w:t xml:space="preserve"> </w:t>
        </w:r>
        <w:r w:rsidRPr="00A92272">
          <w:rPr>
            <w:rFonts w:ascii="Visby" w:hAnsi="Visby" w:cs="Baghdad"/>
            <w:color w:val="000000" w:themeColor="text1"/>
            <w:sz w:val="20"/>
            <w:szCs w:val="20"/>
            <w:lang w:val="pt-BR"/>
          </w:rPr>
          <w:t>59</w:t>
        </w:r>
        <w:r>
          <w:rPr>
            <w:rFonts w:ascii="Visby" w:hAnsi="Visby" w:cs="Baghdad"/>
            <w:color w:val="000000" w:themeColor="text1"/>
            <w:sz w:val="20"/>
            <w:szCs w:val="20"/>
            <w:lang w:val="pt-BR"/>
          </w:rPr>
          <w:t xml:space="preserve"> </w:t>
        </w:r>
        <w:r w:rsidRPr="00A92272">
          <w:rPr>
            <w:rFonts w:ascii="Visby" w:hAnsi="Visby" w:cs="Baghdad"/>
            <w:color w:val="000000" w:themeColor="text1"/>
            <w:sz w:val="20"/>
            <w:szCs w:val="20"/>
            <w:lang w:val="pt-BR"/>
          </w:rPr>
          <w:t>32</w:t>
        </w:r>
        <w:r>
          <w:rPr>
            <w:rFonts w:ascii="Visby" w:hAnsi="Visby" w:cs="Baghdad"/>
            <w:color w:val="000000" w:themeColor="text1"/>
            <w:sz w:val="20"/>
            <w:szCs w:val="20"/>
            <w:lang w:val="pt-BR"/>
          </w:rPr>
          <w:t xml:space="preserve"> </w:t>
        </w:r>
        <w:r w:rsidRPr="00A92272">
          <w:rPr>
            <w:rFonts w:ascii="Visby" w:hAnsi="Visby" w:cs="Baghdad"/>
            <w:color w:val="000000" w:themeColor="text1"/>
            <w:sz w:val="20"/>
            <w:szCs w:val="20"/>
            <w:lang w:val="pt-BR"/>
          </w:rPr>
          <w:t>14</w:t>
        </w:r>
      </w:hyperlink>
      <w:r>
        <w:rPr>
          <w:rFonts w:ascii="Visby" w:hAnsi="Visby" w:cs="Baghdad"/>
          <w:color w:val="000000" w:themeColor="text1"/>
          <w:sz w:val="20"/>
          <w:szCs w:val="20"/>
          <w:lang w:val="pt-BR"/>
        </w:rPr>
        <w:tab/>
      </w:r>
      <w:r w:rsidRPr="005532A6">
        <w:rPr>
          <w:rFonts w:ascii="Visby" w:hAnsi="Visby" w:cs="Baghdad"/>
          <w:color w:val="000000" w:themeColor="text1"/>
          <w:sz w:val="20"/>
          <w:szCs w:val="20"/>
          <w:lang w:val="pt-BR"/>
        </w:rPr>
        <w:tab/>
        <w:t>691 435 343</w:t>
      </w:r>
    </w:p>
    <w:p w14:paraId="7023479D" w14:textId="38E15AD0" w:rsidR="00476B9A" w:rsidRPr="005532A6" w:rsidRDefault="00476B9A" w:rsidP="00476B9A">
      <w:pPr>
        <w:widowControl w:val="0"/>
        <w:tabs>
          <w:tab w:val="left" w:pos="2971"/>
        </w:tabs>
        <w:autoSpaceDE w:val="0"/>
        <w:autoSpaceDN w:val="0"/>
        <w:adjustRightInd w:val="0"/>
        <w:spacing w:after="60"/>
        <w:jc w:val="both"/>
        <w:rPr>
          <w:rFonts w:ascii="Visby" w:hAnsi="Visby" w:cs="Baghdad"/>
          <w:color w:val="000000" w:themeColor="text1"/>
          <w:sz w:val="20"/>
          <w:szCs w:val="20"/>
          <w:lang w:val="pt-BR"/>
        </w:rPr>
      </w:pPr>
    </w:p>
    <w:p w14:paraId="671DCDF8" w14:textId="65D5FE1E" w:rsidR="00190B3E" w:rsidRPr="009C7973" w:rsidRDefault="00190B3E" w:rsidP="009C7973">
      <w:pPr>
        <w:widowControl w:val="0"/>
        <w:autoSpaceDE w:val="0"/>
        <w:autoSpaceDN w:val="0"/>
        <w:adjustRightInd w:val="0"/>
        <w:spacing w:after="240" w:line="240" w:lineRule="auto"/>
        <w:jc w:val="both"/>
        <w:rPr>
          <w:rFonts w:ascii="Visby" w:hAnsi="Visby" w:cs="Times"/>
        </w:rPr>
      </w:pPr>
    </w:p>
    <w:sectPr w:rsidR="00190B3E" w:rsidRPr="009C7973">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4E58" w14:textId="77777777" w:rsidR="00C73188" w:rsidRDefault="00C73188" w:rsidP="008C66C1">
      <w:pPr>
        <w:spacing w:after="0" w:line="240" w:lineRule="auto"/>
      </w:pPr>
      <w:r>
        <w:separator/>
      </w:r>
    </w:p>
  </w:endnote>
  <w:endnote w:type="continuationSeparator" w:id="0">
    <w:p w14:paraId="25738571" w14:textId="77777777" w:rsidR="00C73188" w:rsidRDefault="00C73188" w:rsidP="008C6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isby">
    <w:altName w:val="Cambria"/>
    <w:panose1 w:val="00000000000000000000"/>
    <w:charset w:val="00"/>
    <w:family w:val="auto"/>
    <w:notTrueType/>
    <w:pitch w:val="variable"/>
    <w:sig w:usb0="A00002EF" w:usb1="5000205A" w:usb2="00000000" w:usb3="00000000" w:csb0="00000001" w:csb1="00000000"/>
  </w:font>
  <w:font w:name="Times">
    <w:panose1 w:val="02020603050405020304"/>
    <w:charset w:val="00"/>
    <w:family w:val="roman"/>
    <w:pitch w:val="variable"/>
    <w:sig w:usb0="E0002EFF" w:usb1="C000785B" w:usb2="00000009" w:usb3="00000000" w:csb0="000001FF" w:csb1="00000000"/>
  </w:font>
  <w:font w:name="Baghdad">
    <w:altName w:val="Arial"/>
    <w:charset w:val="B2"/>
    <w:family w:val="auto"/>
    <w:pitch w:val="variable"/>
    <w:sig w:usb0="80002003" w:usb1="80000000" w:usb2="00000008" w:usb3="00000000" w:csb0="00000040" w:csb1="00000000"/>
  </w:font>
  <w:font w:name="Visby Semibold">
    <w:altName w:val="Calibri"/>
    <w:panose1 w:val="00000000000000000000"/>
    <w:charset w:val="00"/>
    <w:family w:val="auto"/>
    <w:notTrueType/>
    <w:pitch w:val="variable"/>
    <w:sig w:usb0="A00002EF" w:usb1="5000205A" w:usb2="00000000" w:usb3="00000000" w:csb0="00000001"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6DC79" w14:textId="77777777" w:rsidR="00C73188" w:rsidRDefault="00C73188" w:rsidP="008C66C1">
      <w:pPr>
        <w:spacing w:after="0" w:line="240" w:lineRule="auto"/>
      </w:pPr>
      <w:r>
        <w:separator/>
      </w:r>
    </w:p>
  </w:footnote>
  <w:footnote w:type="continuationSeparator" w:id="0">
    <w:p w14:paraId="09640749" w14:textId="77777777" w:rsidR="00C73188" w:rsidRDefault="00C73188" w:rsidP="008C6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2C72" w14:textId="088D8728" w:rsidR="009752CC" w:rsidRDefault="009752CC">
    <w:r>
      <w:rPr>
        <w:noProof/>
      </w:rPr>
      <w:drawing>
        <wp:anchor distT="0" distB="0" distL="114300" distR="114300" simplePos="0" relativeHeight="251658241" behindDoc="1" locked="0" layoutInCell="1" allowOverlap="1" wp14:anchorId="74A46A15" wp14:editId="62869DF0">
          <wp:simplePos x="0" y="0"/>
          <wp:positionH relativeFrom="column">
            <wp:posOffset>3593465</wp:posOffset>
          </wp:positionH>
          <wp:positionV relativeFrom="paragraph">
            <wp:posOffset>-106680</wp:posOffset>
          </wp:positionV>
          <wp:extent cx="2087880" cy="423545"/>
          <wp:effectExtent l="0" t="0" r="0" b="0"/>
          <wp:wrapTight wrapText="bothSides">
            <wp:wrapPolygon edited="0">
              <wp:start x="8869" y="972"/>
              <wp:lineTo x="985" y="4858"/>
              <wp:lineTo x="394" y="10687"/>
              <wp:lineTo x="788" y="19430"/>
              <wp:lineTo x="2562" y="19430"/>
              <wp:lineTo x="20891" y="17487"/>
              <wp:lineTo x="21285" y="3886"/>
              <wp:lineTo x="12219" y="972"/>
              <wp:lineTo x="8869" y="972"/>
            </wp:wrapPolygon>
          </wp:wrapTight>
          <wp:docPr id="2093070844" name="Imagen 1" descr="Logotipo&#10;&#10;El contenido generado por IA puede ser incorrecto.">
            <a:extLst xmlns:a="http://schemas.openxmlformats.org/drawingml/2006/main">
              <a:ext uri="{FF2B5EF4-FFF2-40B4-BE49-F238E27FC236}">
                <a16:creationId xmlns:a16="http://schemas.microsoft.com/office/drawing/2014/main" id="{72D3B247-710D-40B0-8933-A3790AC4B8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084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087880" cy="423545"/>
                  </a:xfrm>
                  <a:prstGeom prst="rect">
                    <a:avLst/>
                  </a:prstGeom>
                </pic:spPr>
              </pic:pic>
            </a:graphicData>
          </a:graphic>
        </wp:anchor>
      </w:drawing>
    </w:r>
    <w:r w:rsidR="00C70CDF">
      <w:rPr>
        <w:noProof/>
      </w:rPr>
      <w:drawing>
        <wp:anchor distT="0" distB="0" distL="114300" distR="114300" simplePos="0" relativeHeight="251658240" behindDoc="1" locked="0" layoutInCell="1" allowOverlap="1" wp14:anchorId="39B50978" wp14:editId="1F3D4BF7">
          <wp:simplePos x="0" y="0"/>
          <wp:positionH relativeFrom="column">
            <wp:posOffset>3593465</wp:posOffset>
          </wp:positionH>
          <wp:positionV relativeFrom="paragraph">
            <wp:posOffset>-106680</wp:posOffset>
          </wp:positionV>
          <wp:extent cx="2087880" cy="423545"/>
          <wp:effectExtent l="0" t="0" r="0" b="0"/>
          <wp:wrapTight wrapText="bothSides">
            <wp:wrapPolygon edited="0">
              <wp:start x="8869" y="972"/>
              <wp:lineTo x="985" y="4858"/>
              <wp:lineTo x="394" y="10687"/>
              <wp:lineTo x="788" y="19430"/>
              <wp:lineTo x="2562" y="19430"/>
              <wp:lineTo x="20891" y="17487"/>
              <wp:lineTo x="21285" y="3886"/>
              <wp:lineTo x="12219" y="972"/>
              <wp:lineTo x="8869" y="972"/>
            </wp:wrapPolygon>
          </wp:wrapTight>
          <wp:docPr id="84820413" name="Imagen 1" descr="Logotipo&#10;&#10;El contenido generado por IA puede ser incorrecto.">
            <a:extLst xmlns:a="http://schemas.openxmlformats.org/drawingml/2006/main">
              <a:ext uri="{FF2B5EF4-FFF2-40B4-BE49-F238E27FC236}">
                <a16:creationId xmlns:a16="http://schemas.microsoft.com/office/drawing/2014/main" id="{888CEAB9-85E6-41B6-B718-FC446B6D6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084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087880" cy="4235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A879F9"/>
    <w:multiLevelType w:val="hybridMultilevel"/>
    <w:tmpl w:val="4AFADE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6D59A3"/>
    <w:multiLevelType w:val="hybridMultilevel"/>
    <w:tmpl w:val="FC20D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F995CB0"/>
    <w:multiLevelType w:val="hybridMultilevel"/>
    <w:tmpl w:val="0D167A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35D35C6"/>
    <w:multiLevelType w:val="multilevel"/>
    <w:tmpl w:val="7728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F72EFD"/>
    <w:multiLevelType w:val="multilevel"/>
    <w:tmpl w:val="A2F4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006964">
    <w:abstractNumId w:val="5"/>
  </w:num>
  <w:num w:numId="2" w16cid:durableId="1774546141">
    <w:abstractNumId w:val="4"/>
  </w:num>
  <w:num w:numId="3" w16cid:durableId="1873151753">
    <w:abstractNumId w:val="2"/>
  </w:num>
  <w:num w:numId="4" w16cid:durableId="1988705236">
    <w:abstractNumId w:val="1"/>
  </w:num>
  <w:num w:numId="5" w16cid:durableId="37046925">
    <w:abstractNumId w:val="3"/>
  </w:num>
  <w:num w:numId="6" w16cid:durableId="55732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65"/>
    <w:rsid w:val="00003CB2"/>
    <w:rsid w:val="00022676"/>
    <w:rsid w:val="000263A7"/>
    <w:rsid w:val="0003620C"/>
    <w:rsid w:val="0005368A"/>
    <w:rsid w:val="000556B8"/>
    <w:rsid w:val="00075E18"/>
    <w:rsid w:val="00075EE9"/>
    <w:rsid w:val="000B01A0"/>
    <w:rsid w:val="000B12DF"/>
    <w:rsid w:val="000C1953"/>
    <w:rsid w:val="000C6B56"/>
    <w:rsid w:val="000D1627"/>
    <w:rsid w:val="000D291A"/>
    <w:rsid w:val="000D6AD6"/>
    <w:rsid w:val="000E2731"/>
    <w:rsid w:val="000E2B11"/>
    <w:rsid w:val="000E366E"/>
    <w:rsid w:val="000E4F26"/>
    <w:rsid w:val="000F1E00"/>
    <w:rsid w:val="000F21DA"/>
    <w:rsid w:val="000F572D"/>
    <w:rsid w:val="000F5C6F"/>
    <w:rsid w:val="00104205"/>
    <w:rsid w:val="00104F1B"/>
    <w:rsid w:val="001158A8"/>
    <w:rsid w:val="0011612E"/>
    <w:rsid w:val="001174C1"/>
    <w:rsid w:val="00121F84"/>
    <w:rsid w:val="0012645E"/>
    <w:rsid w:val="00142AB0"/>
    <w:rsid w:val="00143052"/>
    <w:rsid w:val="001525AC"/>
    <w:rsid w:val="001552E4"/>
    <w:rsid w:val="00157F0D"/>
    <w:rsid w:val="00162774"/>
    <w:rsid w:val="001855BB"/>
    <w:rsid w:val="00190B3E"/>
    <w:rsid w:val="0019380D"/>
    <w:rsid w:val="00196337"/>
    <w:rsid w:val="0019668D"/>
    <w:rsid w:val="00197512"/>
    <w:rsid w:val="001A21C3"/>
    <w:rsid w:val="001A25E6"/>
    <w:rsid w:val="001B19C1"/>
    <w:rsid w:val="001B1BE9"/>
    <w:rsid w:val="001F10F5"/>
    <w:rsid w:val="001F1EFA"/>
    <w:rsid w:val="00207C9E"/>
    <w:rsid w:val="00211CFD"/>
    <w:rsid w:val="00213E72"/>
    <w:rsid w:val="002146AF"/>
    <w:rsid w:val="00217DAF"/>
    <w:rsid w:val="00222727"/>
    <w:rsid w:val="002304FD"/>
    <w:rsid w:val="00234C59"/>
    <w:rsid w:val="00241E24"/>
    <w:rsid w:val="00245590"/>
    <w:rsid w:val="0026037F"/>
    <w:rsid w:val="00263D51"/>
    <w:rsid w:val="00273373"/>
    <w:rsid w:val="00273418"/>
    <w:rsid w:val="00274BAE"/>
    <w:rsid w:val="0028517A"/>
    <w:rsid w:val="00295F46"/>
    <w:rsid w:val="002D0745"/>
    <w:rsid w:val="002D3544"/>
    <w:rsid w:val="002D4B7B"/>
    <w:rsid w:val="002F15DE"/>
    <w:rsid w:val="00301B5B"/>
    <w:rsid w:val="00313753"/>
    <w:rsid w:val="00317799"/>
    <w:rsid w:val="00322380"/>
    <w:rsid w:val="00323595"/>
    <w:rsid w:val="003262CA"/>
    <w:rsid w:val="00330E96"/>
    <w:rsid w:val="00335A45"/>
    <w:rsid w:val="003377B5"/>
    <w:rsid w:val="00341729"/>
    <w:rsid w:val="0036275F"/>
    <w:rsid w:val="003833B1"/>
    <w:rsid w:val="00383D74"/>
    <w:rsid w:val="003919F8"/>
    <w:rsid w:val="00392088"/>
    <w:rsid w:val="00394889"/>
    <w:rsid w:val="00397985"/>
    <w:rsid w:val="003A1B13"/>
    <w:rsid w:val="003A3078"/>
    <w:rsid w:val="003B4EE6"/>
    <w:rsid w:val="003C151F"/>
    <w:rsid w:val="003C4C89"/>
    <w:rsid w:val="003D7691"/>
    <w:rsid w:val="003F47E8"/>
    <w:rsid w:val="00401B2E"/>
    <w:rsid w:val="004175CA"/>
    <w:rsid w:val="00420F7B"/>
    <w:rsid w:val="0042194F"/>
    <w:rsid w:val="004456C1"/>
    <w:rsid w:val="0045336D"/>
    <w:rsid w:val="00466721"/>
    <w:rsid w:val="00476B9A"/>
    <w:rsid w:val="00480318"/>
    <w:rsid w:val="00482474"/>
    <w:rsid w:val="004932D9"/>
    <w:rsid w:val="00493C63"/>
    <w:rsid w:val="00493E87"/>
    <w:rsid w:val="004974A3"/>
    <w:rsid w:val="004A388A"/>
    <w:rsid w:val="004A7C2F"/>
    <w:rsid w:val="004C7DC1"/>
    <w:rsid w:val="00502FCC"/>
    <w:rsid w:val="00503439"/>
    <w:rsid w:val="00526EBD"/>
    <w:rsid w:val="005330D5"/>
    <w:rsid w:val="00534348"/>
    <w:rsid w:val="00540BA8"/>
    <w:rsid w:val="00542626"/>
    <w:rsid w:val="00544B5C"/>
    <w:rsid w:val="00550218"/>
    <w:rsid w:val="00550DB4"/>
    <w:rsid w:val="005519AD"/>
    <w:rsid w:val="00554C17"/>
    <w:rsid w:val="00595196"/>
    <w:rsid w:val="005A24B6"/>
    <w:rsid w:val="005C4139"/>
    <w:rsid w:val="005C5568"/>
    <w:rsid w:val="005C6500"/>
    <w:rsid w:val="005C77CC"/>
    <w:rsid w:val="005D64A2"/>
    <w:rsid w:val="005D79F6"/>
    <w:rsid w:val="005E3554"/>
    <w:rsid w:val="005F3B4D"/>
    <w:rsid w:val="005F65C7"/>
    <w:rsid w:val="006041AC"/>
    <w:rsid w:val="00612087"/>
    <w:rsid w:val="0061379E"/>
    <w:rsid w:val="00625E55"/>
    <w:rsid w:val="0064412D"/>
    <w:rsid w:val="00645726"/>
    <w:rsid w:val="0065628D"/>
    <w:rsid w:val="00665096"/>
    <w:rsid w:val="0067365C"/>
    <w:rsid w:val="00680ACE"/>
    <w:rsid w:val="0068138A"/>
    <w:rsid w:val="00686D72"/>
    <w:rsid w:val="006947CB"/>
    <w:rsid w:val="0069613A"/>
    <w:rsid w:val="006C13AB"/>
    <w:rsid w:val="006D370C"/>
    <w:rsid w:val="006E5D43"/>
    <w:rsid w:val="006E71F2"/>
    <w:rsid w:val="00707319"/>
    <w:rsid w:val="00716708"/>
    <w:rsid w:val="00726B66"/>
    <w:rsid w:val="00734068"/>
    <w:rsid w:val="00746039"/>
    <w:rsid w:val="007476AA"/>
    <w:rsid w:val="0075310F"/>
    <w:rsid w:val="00755C1F"/>
    <w:rsid w:val="00760BB6"/>
    <w:rsid w:val="00761281"/>
    <w:rsid w:val="00763899"/>
    <w:rsid w:val="007814C3"/>
    <w:rsid w:val="0078549D"/>
    <w:rsid w:val="00796837"/>
    <w:rsid w:val="007B0E55"/>
    <w:rsid w:val="007C69A3"/>
    <w:rsid w:val="007D0A47"/>
    <w:rsid w:val="007D145E"/>
    <w:rsid w:val="007D4DD0"/>
    <w:rsid w:val="007D71FC"/>
    <w:rsid w:val="007E2C89"/>
    <w:rsid w:val="007E33E3"/>
    <w:rsid w:val="007F1A21"/>
    <w:rsid w:val="00803F6D"/>
    <w:rsid w:val="008050B8"/>
    <w:rsid w:val="00842C72"/>
    <w:rsid w:val="00843C08"/>
    <w:rsid w:val="008517D1"/>
    <w:rsid w:val="0085501B"/>
    <w:rsid w:val="008563CF"/>
    <w:rsid w:val="00874209"/>
    <w:rsid w:val="0087759F"/>
    <w:rsid w:val="00892591"/>
    <w:rsid w:val="00892593"/>
    <w:rsid w:val="008976ED"/>
    <w:rsid w:val="008B7ADA"/>
    <w:rsid w:val="008C66C1"/>
    <w:rsid w:val="008D5881"/>
    <w:rsid w:val="008D7403"/>
    <w:rsid w:val="008E01EB"/>
    <w:rsid w:val="008F57AD"/>
    <w:rsid w:val="00903C5C"/>
    <w:rsid w:val="00905055"/>
    <w:rsid w:val="009250C9"/>
    <w:rsid w:val="00933E94"/>
    <w:rsid w:val="00935597"/>
    <w:rsid w:val="00935C90"/>
    <w:rsid w:val="0094312A"/>
    <w:rsid w:val="00944692"/>
    <w:rsid w:val="009473D5"/>
    <w:rsid w:val="009504C8"/>
    <w:rsid w:val="009514CB"/>
    <w:rsid w:val="00966C12"/>
    <w:rsid w:val="009752CC"/>
    <w:rsid w:val="00976ACB"/>
    <w:rsid w:val="00994A1D"/>
    <w:rsid w:val="009A2B8C"/>
    <w:rsid w:val="009A62C6"/>
    <w:rsid w:val="009C7973"/>
    <w:rsid w:val="009D7F35"/>
    <w:rsid w:val="009E3CF3"/>
    <w:rsid w:val="009E4FA7"/>
    <w:rsid w:val="009E77F7"/>
    <w:rsid w:val="009F049F"/>
    <w:rsid w:val="009F1C64"/>
    <w:rsid w:val="00A14D68"/>
    <w:rsid w:val="00A262F2"/>
    <w:rsid w:val="00A3628F"/>
    <w:rsid w:val="00A36C1B"/>
    <w:rsid w:val="00A467C3"/>
    <w:rsid w:val="00A50DA6"/>
    <w:rsid w:val="00A515DA"/>
    <w:rsid w:val="00A61314"/>
    <w:rsid w:val="00A62365"/>
    <w:rsid w:val="00A641BE"/>
    <w:rsid w:val="00A65B9A"/>
    <w:rsid w:val="00A7467B"/>
    <w:rsid w:val="00A7683E"/>
    <w:rsid w:val="00A90C11"/>
    <w:rsid w:val="00A926E4"/>
    <w:rsid w:val="00AA166E"/>
    <w:rsid w:val="00AB68EF"/>
    <w:rsid w:val="00AC3125"/>
    <w:rsid w:val="00AC562E"/>
    <w:rsid w:val="00AD51E7"/>
    <w:rsid w:val="00AE570B"/>
    <w:rsid w:val="00B0014E"/>
    <w:rsid w:val="00B260AE"/>
    <w:rsid w:val="00B364AE"/>
    <w:rsid w:val="00B575B8"/>
    <w:rsid w:val="00B6447D"/>
    <w:rsid w:val="00B67225"/>
    <w:rsid w:val="00B77E35"/>
    <w:rsid w:val="00B97437"/>
    <w:rsid w:val="00BA353E"/>
    <w:rsid w:val="00BB18BA"/>
    <w:rsid w:val="00BC71BC"/>
    <w:rsid w:val="00BD059A"/>
    <w:rsid w:val="00BD6720"/>
    <w:rsid w:val="00BE0891"/>
    <w:rsid w:val="00BE43FF"/>
    <w:rsid w:val="00BE6694"/>
    <w:rsid w:val="00BF381D"/>
    <w:rsid w:val="00C0747B"/>
    <w:rsid w:val="00C13179"/>
    <w:rsid w:val="00C13B09"/>
    <w:rsid w:val="00C26827"/>
    <w:rsid w:val="00C3098E"/>
    <w:rsid w:val="00C33BD3"/>
    <w:rsid w:val="00C3634F"/>
    <w:rsid w:val="00C368E0"/>
    <w:rsid w:val="00C3698B"/>
    <w:rsid w:val="00C41232"/>
    <w:rsid w:val="00C420A9"/>
    <w:rsid w:val="00C45CE6"/>
    <w:rsid w:val="00C54EF5"/>
    <w:rsid w:val="00C64321"/>
    <w:rsid w:val="00C65116"/>
    <w:rsid w:val="00C70CDF"/>
    <w:rsid w:val="00C71DD4"/>
    <w:rsid w:val="00C727AA"/>
    <w:rsid w:val="00C73188"/>
    <w:rsid w:val="00C731CD"/>
    <w:rsid w:val="00C73260"/>
    <w:rsid w:val="00C73952"/>
    <w:rsid w:val="00C760AE"/>
    <w:rsid w:val="00C77839"/>
    <w:rsid w:val="00C868B1"/>
    <w:rsid w:val="00C90823"/>
    <w:rsid w:val="00C92E6B"/>
    <w:rsid w:val="00C97C7F"/>
    <w:rsid w:val="00C97F7C"/>
    <w:rsid w:val="00CA13F6"/>
    <w:rsid w:val="00CB082A"/>
    <w:rsid w:val="00CC4201"/>
    <w:rsid w:val="00CD098A"/>
    <w:rsid w:val="00CD3529"/>
    <w:rsid w:val="00CF0E9B"/>
    <w:rsid w:val="00CF243F"/>
    <w:rsid w:val="00D0121F"/>
    <w:rsid w:val="00D04424"/>
    <w:rsid w:val="00D14B18"/>
    <w:rsid w:val="00D35DAE"/>
    <w:rsid w:val="00D42508"/>
    <w:rsid w:val="00D43D01"/>
    <w:rsid w:val="00D514CE"/>
    <w:rsid w:val="00D60F0A"/>
    <w:rsid w:val="00D83977"/>
    <w:rsid w:val="00D90FC6"/>
    <w:rsid w:val="00D93AA4"/>
    <w:rsid w:val="00DA3DAA"/>
    <w:rsid w:val="00DA7014"/>
    <w:rsid w:val="00DB56D6"/>
    <w:rsid w:val="00DC0A86"/>
    <w:rsid w:val="00DC2FC6"/>
    <w:rsid w:val="00DC5422"/>
    <w:rsid w:val="00DC7C24"/>
    <w:rsid w:val="00DD0237"/>
    <w:rsid w:val="00DD0B8E"/>
    <w:rsid w:val="00DE369D"/>
    <w:rsid w:val="00DE3C60"/>
    <w:rsid w:val="00E06464"/>
    <w:rsid w:val="00E3045C"/>
    <w:rsid w:val="00E304F4"/>
    <w:rsid w:val="00E324FC"/>
    <w:rsid w:val="00E46F72"/>
    <w:rsid w:val="00E47D0F"/>
    <w:rsid w:val="00E512E9"/>
    <w:rsid w:val="00E535FF"/>
    <w:rsid w:val="00E54BBD"/>
    <w:rsid w:val="00E5620D"/>
    <w:rsid w:val="00E619F9"/>
    <w:rsid w:val="00E72CC6"/>
    <w:rsid w:val="00E76495"/>
    <w:rsid w:val="00E76F67"/>
    <w:rsid w:val="00E81E5A"/>
    <w:rsid w:val="00E839A9"/>
    <w:rsid w:val="00E85C63"/>
    <w:rsid w:val="00E87BD3"/>
    <w:rsid w:val="00E91AED"/>
    <w:rsid w:val="00E94B23"/>
    <w:rsid w:val="00E967B8"/>
    <w:rsid w:val="00EA0C96"/>
    <w:rsid w:val="00EA743C"/>
    <w:rsid w:val="00EC4D65"/>
    <w:rsid w:val="00ED1B7B"/>
    <w:rsid w:val="00ED39A3"/>
    <w:rsid w:val="00ED3B97"/>
    <w:rsid w:val="00ED461E"/>
    <w:rsid w:val="00ED558B"/>
    <w:rsid w:val="00EE43FA"/>
    <w:rsid w:val="00EE4FD5"/>
    <w:rsid w:val="00EE5CF2"/>
    <w:rsid w:val="00EF3F8C"/>
    <w:rsid w:val="00F0416A"/>
    <w:rsid w:val="00F0495B"/>
    <w:rsid w:val="00F10477"/>
    <w:rsid w:val="00F1313D"/>
    <w:rsid w:val="00F240FE"/>
    <w:rsid w:val="00F35EDD"/>
    <w:rsid w:val="00F37CBD"/>
    <w:rsid w:val="00F45C77"/>
    <w:rsid w:val="00F53512"/>
    <w:rsid w:val="00F54D83"/>
    <w:rsid w:val="00F54FB5"/>
    <w:rsid w:val="00F60D6E"/>
    <w:rsid w:val="00F64B61"/>
    <w:rsid w:val="00F663CE"/>
    <w:rsid w:val="00F72EB5"/>
    <w:rsid w:val="00F75705"/>
    <w:rsid w:val="00F75D4D"/>
    <w:rsid w:val="00F77979"/>
    <w:rsid w:val="00F813A8"/>
    <w:rsid w:val="00F84684"/>
    <w:rsid w:val="00F90AFE"/>
    <w:rsid w:val="00F97E36"/>
    <w:rsid w:val="00FA31ED"/>
    <w:rsid w:val="00FA3BE2"/>
    <w:rsid w:val="00FC1AD3"/>
    <w:rsid w:val="00FC28B6"/>
    <w:rsid w:val="00FC3D8A"/>
    <w:rsid w:val="00FC3FEF"/>
    <w:rsid w:val="00FC686D"/>
    <w:rsid w:val="00FD18D2"/>
    <w:rsid w:val="00FD2789"/>
    <w:rsid w:val="00FD3DFC"/>
    <w:rsid w:val="00FD656E"/>
    <w:rsid w:val="00FE77E2"/>
    <w:rsid w:val="00FF5FE9"/>
    <w:rsid w:val="09C2B087"/>
    <w:rsid w:val="0C2B43E8"/>
    <w:rsid w:val="49F20D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E39F"/>
  <w15:chartTrackingRefBased/>
  <w15:docId w15:val="{8DA9F88A-ADDA-47E8-9C70-CF1B1306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C4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semiHidden/>
    <w:unhideWhenUsed/>
    <w:qFormat/>
    <w:rsid w:val="00EC4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EC4D6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EC4D6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EC4D6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EC4D6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EC4D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EC4D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EC4D6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4D65"/>
    <w:pPr>
      <w:ind w:left="720"/>
      <w:contextualSpacing/>
    </w:pPr>
  </w:style>
  <w:style w:type="character" w:styleId="nfasisintenso">
    <w:name w:val="Intense Emphasis"/>
    <w:basedOn w:val="Fuentedeprrafopredeter"/>
    <w:uiPriority w:val="21"/>
    <w:qFormat/>
    <w:rsid w:val="00EC4D65"/>
    <w:rPr>
      <w:i/>
      <w:iCs/>
      <w:color w:val="0F4761" w:themeColor="accent1" w:themeShade="BF"/>
    </w:rPr>
  </w:style>
  <w:style w:type="character" w:styleId="Referenciaintensa">
    <w:name w:val="Intense Reference"/>
    <w:basedOn w:val="Fuentedeprrafopredeter"/>
    <w:uiPriority w:val="32"/>
    <w:qFormat/>
    <w:rsid w:val="00EC4D65"/>
    <w:rPr>
      <w:b/>
      <w:bCs/>
      <w:smallCaps/>
      <w:color w:val="0F4761" w:themeColor="accent1" w:themeShade="BF"/>
      <w:spacing w:val="5"/>
    </w:rPr>
  </w:style>
  <w:style w:type="paragraph" w:styleId="Sinespaciado">
    <w:name w:val="No Spacing"/>
    <w:uiPriority w:val="1"/>
    <w:qFormat/>
    <w:rsid w:val="008C66C1"/>
    <w:pPr>
      <w:spacing w:after="0" w:line="240" w:lineRule="auto"/>
    </w:pPr>
    <w:rPr>
      <w:kern w:val="0"/>
      <w14:ligatures w14:val="none"/>
    </w:rPr>
  </w:style>
  <w:style w:type="character" w:styleId="Hipervnculo">
    <w:name w:val="Hyperlink"/>
    <w:basedOn w:val="Fuentedeprrafopredeter"/>
    <w:uiPriority w:val="99"/>
    <w:unhideWhenUsed/>
    <w:rsid w:val="00162774"/>
    <w:rPr>
      <w:color w:val="467886" w:themeColor="hyperlink"/>
      <w:u w:val="single"/>
    </w:rPr>
  </w:style>
  <w:style w:type="paragraph" w:styleId="NormalWeb">
    <w:name w:val="Normal (Web)"/>
    <w:basedOn w:val="Normal"/>
    <w:uiPriority w:val="99"/>
    <w:unhideWhenUsed/>
    <w:rsid w:val="004175CA"/>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Fuerte">
    <w:name w:val="Strong"/>
    <w:basedOn w:val="Fuentedeprrafopredeter"/>
    <w:uiPriority w:val="22"/>
    <w:qFormat/>
    <w:rsid w:val="004175CA"/>
    <w:rPr>
      <w:b/>
      <w:bCs/>
    </w:rPr>
  </w:style>
  <w:style w:type="character" w:styleId="Refdecomentario">
    <w:name w:val="annotation reference"/>
    <w:basedOn w:val="Fuentedeprrafopredeter"/>
    <w:uiPriority w:val="99"/>
    <w:semiHidden/>
    <w:unhideWhenUsed/>
    <w:rsid w:val="00A14D68"/>
    <w:rPr>
      <w:sz w:val="16"/>
      <w:szCs w:val="16"/>
    </w:rPr>
  </w:style>
  <w:style w:type="paragraph" w:styleId="Revisin">
    <w:name w:val="Revision"/>
    <w:hidden/>
    <w:uiPriority w:val="99"/>
    <w:semiHidden/>
    <w:rsid w:val="00C420A9"/>
    <w:pPr>
      <w:spacing w:after="0" w:line="240" w:lineRule="auto"/>
    </w:pPr>
  </w:style>
  <w:style w:type="character" w:customStyle="1" w:styleId="Ttulo1Car">
    <w:name w:val="Título 1 Car"/>
    <w:basedOn w:val="Fuentedeprrafopredeter"/>
    <w:uiPriority w:val="9"/>
    <w:rsid w:val="00B6447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B6447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B6447D"/>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B6447D"/>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B6447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B6447D"/>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B6447D"/>
    <w:rPr>
      <w:rFonts w:eastAsiaTheme="majorEastAsia" w:cstheme="majorBidi"/>
      <w:color w:val="595959" w:themeColor="text1" w:themeTint="A6"/>
    </w:rPr>
  </w:style>
  <w:style w:type="character" w:customStyle="1" w:styleId="Ttulo8Car">
    <w:name w:val="Título 8 Car"/>
    <w:basedOn w:val="Fuentedeprrafopredeter"/>
    <w:uiPriority w:val="9"/>
    <w:semiHidden/>
    <w:rsid w:val="00B6447D"/>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B6447D"/>
    <w:rPr>
      <w:rFonts w:eastAsiaTheme="majorEastAsia" w:cstheme="majorBidi"/>
      <w:color w:val="272727" w:themeColor="text1" w:themeTint="D8"/>
    </w:rPr>
  </w:style>
  <w:style w:type="character" w:customStyle="1" w:styleId="TtuloCar">
    <w:name w:val="Título Car"/>
    <w:basedOn w:val="Fuentedeprrafopredeter"/>
    <w:uiPriority w:val="10"/>
    <w:rsid w:val="00B6447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6447D"/>
    <w:rPr>
      <w:rFonts w:eastAsiaTheme="majorEastAsia" w:cstheme="majorBidi"/>
      <w:color w:val="595959" w:themeColor="text1" w:themeTint="A6"/>
      <w:spacing w:val="15"/>
      <w:sz w:val="28"/>
      <w:szCs w:val="28"/>
    </w:rPr>
  </w:style>
  <w:style w:type="character" w:customStyle="1" w:styleId="CitaCar">
    <w:name w:val="Cita Car"/>
    <w:basedOn w:val="Fuentedeprrafopredeter"/>
    <w:uiPriority w:val="29"/>
    <w:rsid w:val="00B6447D"/>
    <w:rPr>
      <w:i/>
      <w:iCs/>
      <w:color w:val="404040" w:themeColor="text1" w:themeTint="BF"/>
    </w:rPr>
  </w:style>
  <w:style w:type="character" w:customStyle="1" w:styleId="CitadestacadaCar">
    <w:name w:val="Cita destacada Car"/>
    <w:basedOn w:val="Fuentedeprrafopredeter"/>
    <w:uiPriority w:val="30"/>
    <w:rsid w:val="00B6447D"/>
    <w:rPr>
      <w:i/>
      <w:iCs/>
      <w:color w:val="0F4761" w:themeColor="accent1" w:themeShade="BF"/>
    </w:rPr>
  </w:style>
  <w:style w:type="character" w:customStyle="1" w:styleId="EncabezadoCar">
    <w:name w:val="Encabezado Car"/>
    <w:basedOn w:val="Fuentedeprrafopredeter"/>
    <w:uiPriority w:val="99"/>
    <w:rsid w:val="00B6447D"/>
  </w:style>
  <w:style w:type="character" w:customStyle="1" w:styleId="PiedepginaCar">
    <w:name w:val="Pie de página Car"/>
    <w:basedOn w:val="Fuentedeprrafopredeter"/>
    <w:uiPriority w:val="99"/>
    <w:rsid w:val="00B6447D"/>
  </w:style>
  <w:style w:type="character" w:customStyle="1" w:styleId="TextocomentarioCar">
    <w:name w:val="Texto comentario Car"/>
    <w:basedOn w:val="Fuentedeprrafopredeter"/>
    <w:uiPriority w:val="99"/>
    <w:rsid w:val="00B6447D"/>
    <w:rPr>
      <w:sz w:val="20"/>
      <w:szCs w:val="20"/>
    </w:rPr>
  </w:style>
  <w:style w:type="character" w:customStyle="1" w:styleId="AsuntodelcomentarioCar">
    <w:name w:val="Asunto del comentario Car"/>
    <w:basedOn w:val="TextocomentarioCar"/>
    <w:uiPriority w:val="99"/>
    <w:semiHidden/>
    <w:rsid w:val="00B6447D"/>
    <w:rPr>
      <w:b/>
      <w:bCs/>
      <w:sz w:val="20"/>
      <w:szCs w:val="20"/>
    </w:rPr>
  </w:style>
  <w:style w:type="paragraph" w:styleId="Encabezado">
    <w:name w:val="header"/>
    <w:basedOn w:val="Normal"/>
    <w:link w:val="EncabezadoCar1"/>
    <w:uiPriority w:val="99"/>
    <w:semiHidden/>
    <w:unhideWhenUsed/>
    <w:rsid w:val="00A262F2"/>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semiHidden/>
    <w:rsid w:val="00A262F2"/>
  </w:style>
  <w:style w:type="paragraph" w:styleId="Piedepgina">
    <w:name w:val="footer"/>
    <w:basedOn w:val="Normal"/>
    <w:link w:val="PiedepginaCar1"/>
    <w:uiPriority w:val="99"/>
    <w:semiHidden/>
    <w:unhideWhenUsed/>
    <w:rsid w:val="00A262F2"/>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semiHidden/>
    <w:rsid w:val="00A26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diez@kreab.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portero@kreab.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ggomez@gesval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346925932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9" ma:contentTypeDescription="Create a new document." ma:contentTypeScope="" ma:versionID="ac48b1bf53791f2fab21004daac1224a">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27ad2443e3a0398ec464184b731ba92e"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82F810-4A2A-48B0-9BEA-34584E78A5C8}">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2.xml><?xml version="1.0" encoding="utf-8"?>
<ds:datastoreItem xmlns:ds="http://schemas.openxmlformats.org/officeDocument/2006/customXml" ds:itemID="{00638CFD-4310-4261-AA5F-EC1F6AAB8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57D483-E2DB-4F78-8B33-41BEFFFB5778}">
  <ds:schemaRefs>
    <ds:schemaRef ds:uri="http://schemas.microsoft.com/sharepoint/v3/contenttype/forms"/>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5108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Portero</dc:creator>
  <cp:keywords/>
  <dc:description/>
  <cp:lastModifiedBy>Marina Díez Guisasola</cp:lastModifiedBy>
  <cp:revision>2</cp:revision>
  <dcterms:created xsi:type="dcterms:W3CDTF">2026-07-08T07:43:00Z</dcterms:created>
  <dcterms:modified xsi:type="dcterms:W3CDTF">2026-07-08T07:43:00Z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MediaServiceImageTags">
    <vt:lpwstr/>
  </property>
</Properties>
</file>